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napToGrid/>
        <w:spacing w:line="576" w:lineRule="exact"/>
        <w:jc w:val="center"/>
        <w:textAlignment w:val="auto"/>
        <w:rPr>
          <w:rFonts w:hint="eastAsia" w:ascii="宋体" w:hAnsi="宋体" w:eastAsia="方正小标宋简体" w:cs="方正小标宋简体"/>
          <w:b w:val="0"/>
          <w:bCs w:val="0"/>
          <w:color w:val="auto"/>
          <w:spacing w:val="0"/>
          <w:sz w:val="44"/>
          <w:szCs w:val="44"/>
          <w:lang w:val="en-US" w:eastAsia="zh-CN"/>
        </w:rPr>
      </w:pPr>
      <w:bookmarkStart w:id="0" w:name="_GoBack"/>
      <w:r>
        <w:rPr>
          <w:rFonts w:hint="eastAsia" w:ascii="宋体" w:hAnsi="宋体" w:eastAsia="方正小标宋简体" w:cs="方正小标宋简体"/>
          <w:b w:val="0"/>
          <w:bCs w:val="0"/>
          <w:color w:val="auto"/>
          <w:spacing w:val="0"/>
          <w:sz w:val="44"/>
          <w:szCs w:val="44"/>
          <w:lang w:val="en-US" w:eastAsia="zh-CN"/>
        </w:rPr>
        <w:t>进一步促进2025年粮食生产六条措施</w:t>
      </w:r>
    </w:p>
    <w:p>
      <w:pPr>
        <w:keepNext w:val="0"/>
        <w:keepLines w:val="0"/>
        <w:pageBreakBefore w:val="0"/>
        <w:widowControl w:val="0"/>
        <w:kinsoku/>
        <w:wordWrap/>
        <w:overflowPunct/>
        <w:topLinePunct w:val="0"/>
        <w:autoSpaceDE/>
        <w:autoSpaceDN/>
        <w:bidi w:val="0"/>
        <w:snapToGrid/>
        <w:spacing w:line="576" w:lineRule="exact"/>
        <w:jc w:val="center"/>
        <w:textAlignment w:val="auto"/>
        <w:rPr>
          <w:rFonts w:hint="eastAsia" w:ascii="宋体" w:hAnsi="宋体" w:eastAsia="方正小标宋简体" w:cs="方正小标宋简体"/>
          <w:b w:val="0"/>
          <w:bCs w:val="0"/>
          <w:color w:val="auto"/>
          <w:spacing w:val="0"/>
          <w:sz w:val="36"/>
          <w:szCs w:val="36"/>
          <w:lang w:val="en-US" w:eastAsia="zh-CN"/>
        </w:rPr>
      </w:pPr>
      <w:r>
        <w:rPr>
          <w:rFonts w:hint="eastAsia" w:ascii="宋体" w:hAnsi="宋体" w:eastAsia="方正小标宋简体" w:cs="方正小标宋简体"/>
          <w:b w:val="0"/>
          <w:bCs w:val="0"/>
          <w:color w:val="auto"/>
          <w:spacing w:val="0"/>
          <w:sz w:val="44"/>
          <w:szCs w:val="44"/>
          <w:lang w:val="en-US" w:eastAsia="zh-CN"/>
        </w:rPr>
        <w:t>（征求意见稿）</w:t>
      </w:r>
    </w:p>
    <w:bookmarkEnd w:id="0"/>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eastAsia" w:ascii="仿宋_GB2312" w:eastAsia="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各乡（镇）人民政府、街道办事处：</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eastAsia" w:ascii="仿宋_GB2312" w:eastAsia="仿宋_GB2312"/>
          <w:color w:val="auto"/>
          <w:sz w:val="32"/>
          <w:szCs w:val="32"/>
          <w:lang w:eastAsia="zh-CN"/>
        </w:rPr>
      </w:pPr>
      <w:r>
        <w:rPr>
          <w:rFonts w:hint="eastAsia" w:ascii="仿宋_GB2312" w:eastAsia="仿宋_GB2312"/>
          <w:color w:val="auto"/>
          <w:sz w:val="32"/>
          <w:szCs w:val="32"/>
        </w:rPr>
        <w:t>为贯彻落实国家和省委省政府、市委市政府关于保障粮食安全的决策部署，鼓励支持家庭农场</w:t>
      </w:r>
      <w:r>
        <w:rPr>
          <w:rFonts w:hint="eastAsia" w:ascii="仿宋_GB2312" w:eastAsia="仿宋_GB2312"/>
          <w:color w:val="auto"/>
          <w:sz w:val="32"/>
          <w:szCs w:val="32"/>
          <w:lang w:eastAsia="zh-CN"/>
        </w:rPr>
        <w:t>、专业</w:t>
      </w:r>
      <w:r>
        <w:rPr>
          <w:rFonts w:hint="eastAsia" w:ascii="仿宋_GB2312" w:eastAsia="仿宋_GB2312"/>
          <w:color w:val="auto"/>
          <w:sz w:val="32"/>
          <w:szCs w:val="32"/>
        </w:rPr>
        <w:t>合作社等农业经营主体流转农村耕地种植粮</w:t>
      </w:r>
      <w:r>
        <w:rPr>
          <w:rFonts w:hint="eastAsia" w:ascii="仿宋_GB2312" w:eastAsia="仿宋_GB2312"/>
          <w:color w:val="auto"/>
          <w:sz w:val="32"/>
          <w:szCs w:val="32"/>
          <w:lang w:val="en-US" w:eastAsia="zh-CN"/>
        </w:rPr>
        <w:t>食作物</w:t>
      </w:r>
      <w:r>
        <w:rPr>
          <w:rFonts w:hint="eastAsia" w:ascii="仿宋_GB2312" w:eastAsia="仿宋_GB2312"/>
          <w:color w:val="auto"/>
          <w:sz w:val="32"/>
          <w:szCs w:val="32"/>
        </w:rPr>
        <w:t>，逐步解决种植粮</w:t>
      </w:r>
      <w:r>
        <w:rPr>
          <w:rFonts w:hint="eastAsia" w:ascii="仿宋_GB2312" w:eastAsia="仿宋_GB2312"/>
          <w:color w:val="auto"/>
          <w:sz w:val="32"/>
          <w:szCs w:val="32"/>
          <w:lang w:val="en-US" w:eastAsia="zh-CN"/>
        </w:rPr>
        <w:t>食</w:t>
      </w:r>
      <w:r>
        <w:rPr>
          <w:rFonts w:hint="eastAsia" w:ascii="仿宋_GB2312" w:eastAsia="仿宋_GB2312"/>
          <w:color w:val="auto"/>
          <w:sz w:val="32"/>
          <w:szCs w:val="32"/>
        </w:rPr>
        <w:t>效益低和农村劳动力流失造成无人</w:t>
      </w:r>
      <w:r>
        <w:rPr>
          <w:rFonts w:hint="eastAsia" w:ascii="仿宋_GB2312" w:eastAsia="仿宋_GB2312"/>
          <w:strike w:val="0"/>
          <w:dstrike w:val="0"/>
          <w:color w:val="auto"/>
          <w:sz w:val="32"/>
          <w:szCs w:val="32"/>
          <w:lang w:val="en-US" w:eastAsia="zh-CN"/>
        </w:rPr>
        <w:t>耕种</w:t>
      </w:r>
      <w:r>
        <w:rPr>
          <w:rFonts w:hint="eastAsia" w:ascii="仿宋_GB2312" w:eastAsia="仿宋_GB2312"/>
          <w:color w:val="auto"/>
          <w:sz w:val="32"/>
          <w:szCs w:val="32"/>
        </w:rPr>
        <w:t>等问题，防止耕地“非粮化”</w:t>
      </w:r>
      <w:r>
        <w:rPr>
          <w:rFonts w:hint="eastAsia" w:ascii="仿宋_GB2312" w:eastAsia="仿宋_GB2312"/>
          <w:color w:val="auto"/>
          <w:sz w:val="32"/>
          <w:szCs w:val="32"/>
          <w:lang w:eastAsia="zh-CN"/>
        </w:rPr>
        <w:t>“非农化”</w:t>
      </w:r>
      <w:r>
        <w:rPr>
          <w:rFonts w:hint="eastAsia" w:ascii="仿宋_GB2312" w:eastAsia="仿宋_GB2312"/>
          <w:color w:val="auto"/>
          <w:sz w:val="32"/>
          <w:szCs w:val="32"/>
        </w:rPr>
        <w:t>和</w:t>
      </w:r>
      <w:r>
        <w:rPr>
          <w:rFonts w:hint="eastAsia" w:ascii="仿宋_GB2312" w:eastAsia="仿宋_GB2312"/>
          <w:color w:val="auto"/>
          <w:sz w:val="32"/>
          <w:szCs w:val="32"/>
          <w:lang w:eastAsia="zh-CN"/>
        </w:rPr>
        <w:t>撂</w:t>
      </w:r>
      <w:r>
        <w:rPr>
          <w:rFonts w:hint="eastAsia" w:ascii="仿宋_GB2312" w:eastAsia="仿宋_GB2312"/>
          <w:color w:val="auto"/>
          <w:sz w:val="32"/>
          <w:szCs w:val="32"/>
        </w:rPr>
        <w:t>荒，夯实粮</w:t>
      </w:r>
      <w:r>
        <w:rPr>
          <w:rFonts w:hint="eastAsia" w:ascii="仿宋_GB2312" w:eastAsia="仿宋_GB2312"/>
          <w:color w:val="auto"/>
          <w:sz w:val="32"/>
          <w:szCs w:val="32"/>
          <w:lang w:val="en-US" w:eastAsia="zh-CN"/>
        </w:rPr>
        <w:t>食</w:t>
      </w:r>
      <w:r>
        <w:rPr>
          <w:rFonts w:hint="eastAsia" w:ascii="仿宋_GB2312" w:eastAsia="仿宋_GB2312"/>
          <w:color w:val="auto"/>
          <w:sz w:val="32"/>
          <w:szCs w:val="32"/>
        </w:rPr>
        <w:t>安全根基，确保饭碗牢牢端在自己手中</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推动</w:t>
      </w:r>
      <w:r>
        <w:rPr>
          <w:rFonts w:hint="eastAsia" w:ascii="仿宋_GB2312" w:eastAsia="仿宋_GB2312"/>
          <w:color w:val="auto"/>
          <w:sz w:val="32"/>
          <w:szCs w:val="32"/>
        </w:rPr>
        <w:t>农</w:t>
      </w:r>
      <w:r>
        <w:rPr>
          <w:rFonts w:hint="eastAsia" w:ascii="仿宋_GB2312" w:eastAsia="仿宋_GB2312"/>
          <w:color w:val="auto"/>
          <w:sz w:val="32"/>
          <w:szCs w:val="32"/>
          <w:lang w:val="en-US" w:eastAsia="zh-CN"/>
        </w:rPr>
        <w:t>业</w:t>
      </w:r>
      <w:r>
        <w:rPr>
          <w:rFonts w:hint="eastAsia" w:ascii="仿宋_GB2312" w:eastAsia="仿宋_GB2312"/>
          <w:color w:val="auto"/>
          <w:sz w:val="32"/>
          <w:szCs w:val="32"/>
        </w:rPr>
        <w:t>农村持续发展</w:t>
      </w:r>
      <w:r>
        <w:rPr>
          <w:rFonts w:hint="eastAsia" w:ascii="仿宋_GB2312" w:eastAsia="仿宋_GB2312"/>
          <w:color w:val="auto"/>
          <w:sz w:val="32"/>
          <w:szCs w:val="32"/>
          <w:lang w:eastAsia="zh-CN"/>
        </w:rPr>
        <w:t>。</w:t>
      </w:r>
      <w:r>
        <w:rPr>
          <w:rFonts w:hint="eastAsia" w:ascii="仿宋_GB2312" w:eastAsia="仿宋_GB2312"/>
          <w:color w:val="auto"/>
          <w:sz w:val="32"/>
          <w:szCs w:val="32"/>
        </w:rPr>
        <w:t>结合《福建省农业农村厅</w:t>
      </w:r>
      <w:r>
        <w:rPr>
          <w:rFonts w:hint="eastAsia" w:ascii="仿宋_GB2312" w:eastAsia="仿宋_GB2312"/>
          <w:color w:val="auto"/>
          <w:sz w:val="32"/>
          <w:szCs w:val="32"/>
          <w:lang w:val="en-US" w:eastAsia="zh-CN"/>
        </w:rPr>
        <w:t xml:space="preserve"> </w:t>
      </w:r>
      <w:r>
        <w:rPr>
          <w:rFonts w:hint="eastAsia" w:ascii="仿宋_GB2312" w:eastAsia="仿宋_GB2312"/>
          <w:color w:val="auto"/>
          <w:sz w:val="32"/>
          <w:szCs w:val="32"/>
        </w:rPr>
        <w:t>福建省财政厅关于</w:t>
      </w:r>
      <w:r>
        <w:rPr>
          <w:rFonts w:hint="eastAsia" w:ascii="仿宋_GB2312" w:eastAsia="仿宋_GB2312"/>
          <w:color w:val="auto"/>
          <w:sz w:val="32"/>
          <w:szCs w:val="32"/>
          <w:lang w:eastAsia="zh-CN"/>
        </w:rPr>
        <w:t>支持</w:t>
      </w:r>
      <w:r>
        <w:rPr>
          <w:rFonts w:hint="eastAsia" w:ascii="仿宋_GB2312" w:eastAsia="仿宋_GB2312"/>
          <w:color w:val="auto"/>
          <w:sz w:val="32"/>
          <w:szCs w:val="32"/>
        </w:rPr>
        <w:t>202</w:t>
      </w:r>
      <w:r>
        <w:rPr>
          <w:rFonts w:hint="eastAsia" w:ascii="仿宋_GB2312" w:eastAsia="仿宋_GB2312"/>
          <w:color w:val="auto"/>
          <w:sz w:val="32"/>
          <w:szCs w:val="32"/>
          <w:lang w:val="en-US" w:eastAsia="zh-CN"/>
        </w:rPr>
        <w:t>5</w:t>
      </w:r>
      <w:r>
        <w:rPr>
          <w:rFonts w:hint="eastAsia" w:ascii="仿宋_GB2312" w:eastAsia="仿宋_GB2312"/>
          <w:color w:val="auto"/>
          <w:sz w:val="32"/>
          <w:szCs w:val="32"/>
        </w:rPr>
        <w:t>年粮油生产</w:t>
      </w:r>
      <w:r>
        <w:rPr>
          <w:rFonts w:hint="eastAsia" w:ascii="仿宋_GB2312" w:eastAsia="仿宋_GB2312"/>
          <w:color w:val="auto"/>
          <w:sz w:val="32"/>
          <w:szCs w:val="32"/>
          <w:lang w:eastAsia="zh-CN"/>
        </w:rPr>
        <w:t>十</w:t>
      </w:r>
      <w:r>
        <w:rPr>
          <w:rFonts w:hint="eastAsia" w:ascii="仿宋_GB2312" w:eastAsia="仿宋_GB2312"/>
          <w:color w:val="auto"/>
          <w:sz w:val="32"/>
          <w:szCs w:val="32"/>
        </w:rPr>
        <w:t>条措施的通知》(闽农综〔202</w:t>
      </w:r>
      <w:r>
        <w:rPr>
          <w:rFonts w:hint="eastAsia" w:ascii="仿宋_GB2312" w:eastAsia="仿宋_GB2312"/>
          <w:color w:val="auto"/>
          <w:sz w:val="32"/>
          <w:szCs w:val="32"/>
          <w:lang w:val="en-US" w:eastAsia="zh-CN"/>
        </w:rPr>
        <w:t>5</w:t>
      </w:r>
      <w:r>
        <w:rPr>
          <w:rFonts w:hint="eastAsia" w:ascii="仿宋_GB2312" w:eastAsia="仿宋_GB2312"/>
          <w:color w:val="auto"/>
          <w:sz w:val="32"/>
          <w:szCs w:val="32"/>
        </w:rPr>
        <w:t>〕1</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号)</w:t>
      </w:r>
      <w:r>
        <w:rPr>
          <w:rFonts w:hint="eastAsia" w:ascii="仿宋_GB2312" w:eastAsia="仿宋_GB2312"/>
          <w:color w:val="auto"/>
          <w:sz w:val="32"/>
          <w:szCs w:val="32"/>
          <w:lang w:eastAsia="zh-CN"/>
        </w:rPr>
        <w:t>《三明市农业农村局</w:t>
      </w:r>
      <w:r>
        <w:rPr>
          <w:rFonts w:hint="eastAsia" w:ascii="仿宋_GB2312" w:eastAsia="仿宋_GB2312"/>
          <w:color w:val="auto"/>
          <w:sz w:val="32"/>
          <w:szCs w:val="32"/>
          <w:lang w:val="en-US" w:eastAsia="zh-CN"/>
        </w:rPr>
        <w:t xml:space="preserve"> 三明市财政局关于稳定发展2025年粮油生产八条措施的通知</w:t>
      </w:r>
      <w:r>
        <w:rPr>
          <w:rFonts w:hint="eastAsia" w:ascii="仿宋_GB2312" w:eastAsia="仿宋_GB2312"/>
          <w:color w:val="auto"/>
          <w:sz w:val="32"/>
          <w:szCs w:val="32"/>
          <w:lang w:eastAsia="zh-CN"/>
        </w:rPr>
        <w:t>》（明农规〔</w:t>
      </w:r>
      <w:r>
        <w:rPr>
          <w:rFonts w:hint="eastAsia" w:ascii="仿宋_GB2312" w:eastAsia="仿宋_GB2312"/>
          <w:color w:val="auto"/>
          <w:sz w:val="32"/>
          <w:szCs w:val="32"/>
          <w:lang w:val="en-US" w:eastAsia="zh-CN"/>
        </w:rPr>
        <w:t>2025〕1号</w:t>
      </w:r>
      <w:r>
        <w:rPr>
          <w:rFonts w:hint="eastAsia" w:ascii="仿宋_GB2312" w:eastAsia="仿宋_GB2312"/>
          <w:color w:val="auto"/>
          <w:sz w:val="32"/>
          <w:szCs w:val="32"/>
          <w:lang w:eastAsia="zh-CN"/>
        </w:rPr>
        <w:t>）</w:t>
      </w:r>
      <w:r>
        <w:rPr>
          <w:rFonts w:hint="eastAsia" w:ascii="仿宋_GB2312" w:eastAsia="仿宋_GB2312"/>
          <w:color w:val="auto"/>
          <w:sz w:val="32"/>
          <w:szCs w:val="32"/>
        </w:rPr>
        <w:t>精神及我区粮</w:t>
      </w:r>
      <w:r>
        <w:rPr>
          <w:rFonts w:hint="eastAsia" w:ascii="仿宋_GB2312" w:eastAsia="仿宋_GB2312"/>
          <w:color w:val="auto"/>
          <w:sz w:val="32"/>
          <w:szCs w:val="32"/>
          <w:lang w:val="en-US" w:eastAsia="zh-CN"/>
        </w:rPr>
        <w:t>食</w:t>
      </w:r>
      <w:r>
        <w:rPr>
          <w:rFonts w:hint="eastAsia" w:ascii="仿宋_GB2312" w:eastAsia="仿宋_GB2312"/>
          <w:color w:val="auto"/>
          <w:sz w:val="32"/>
          <w:szCs w:val="32"/>
        </w:rPr>
        <w:t>生产实际，</w:t>
      </w:r>
      <w:r>
        <w:rPr>
          <w:rFonts w:hint="eastAsia" w:ascii="仿宋_GB2312" w:eastAsia="仿宋_GB2312"/>
          <w:color w:val="auto"/>
          <w:sz w:val="32"/>
          <w:szCs w:val="32"/>
          <w:lang w:eastAsia="zh-CN"/>
        </w:rPr>
        <w:t>特</w:t>
      </w:r>
      <w:r>
        <w:rPr>
          <w:rFonts w:hint="eastAsia" w:ascii="仿宋_GB2312" w:eastAsia="仿宋_GB2312"/>
          <w:color w:val="auto"/>
          <w:sz w:val="32"/>
          <w:szCs w:val="32"/>
        </w:rPr>
        <w:t>制定</w:t>
      </w:r>
      <w:r>
        <w:rPr>
          <w:rFonts w:hint="eastAsia" w:ascii="仿宋_GB2312" w:eastAsia="仿宋_GB2312"/>
          <w:color w:val="auto"/>
          <w:sz w:val="32"/>
          <w:szCs w:val="32"/>
          <w:lang w:val="en-US" w:eastAsia="zh-CN"/>
        </w:rPr>
        <w:t>以下扶持措施。</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一、任务要求</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Times New Roman" w:eastAsia="仿宋_GB2312" w:cs="Times New Roman"/>
          <w:color w:val="auto"/>
          <w:sz w:val="32"/>
          <w:szCs w:val="32"/>
          <w:lang w:val="en-US" w:eastAsia="zh-CN"/>
        </w:rPr>
      </w:pPr>
      <w:r>
        <w:rPr>
          <w:rFonts w:hint="eastAsia" w:ascii="国标楷体-GB/T 2312" w:hAnsi="国标楷体-GB/T 2312" w:eastAsia="国标楷体-GB/T 2312" w:cs="国标楷体-GB/T 2312"/>
          <w:b/>
          <w:bCs/>
          <w:color w:val="auto"/>
          <w:sz w:val="32"/>
          <w:szCs w:val="32"/>
          <w:lang w:val="en-US" w:eastAsia="zh-CN"/>
        </w:rPr>
        <w:t>（一）稳定粮食种植面积。</w:t>
      </w:r>
      <w:r>
        <w:rPr>
          <w:rFonts w:hint="eastAsia" w:ascii="仿宋_GB2312" w:hAnsi="Times New Roman" w:eastAsia="仿宋_GB2312" w:cs="Times New Roman"/>
          <w:color w:val="auto"/>
          <w:sz w:val="32"/>
          <w:szCs w:val="32"/>
          <w:lang w:val="en-US" w:eastAsia="zh-CN"/>
        </w:rPr>
        <w:t>严守耕地红线，确保耕地保有量和永久基本农田保护任务。落实和完善耕地占补平衡政策，加大耕地执法监督力度，坚决遏制耕地“非粮化”“非农化”，对耕地实行特殊保护和用途管制，严格控制耕地转为林地、园地等其他类型农用地及农业设施建设用地，严禁违规占用永久基本农田种树挖塘。</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eastAsia" w:ascii="黑体" w:hAnsi="黑体" w:eastAsia="黑体" w:cs="黑体"/>
          <w:color w:val="auto"/>
          <w:sz w:val="32"/>
          <w:szCs w:val="32"/>
        </w:rPr>
      </w:pPr>
      <w:r>
        <w:rPr>
          <w:rFonts w:hint="eastAsia" w:ascii="国标楷体-GB/T 2312" w:hAnsi="国标楷体-GB/T 2312" w:eastAsia="国标楷体-GB/T 2312" w:cs="国标楷体-GB/T 2312"/>
          <w:b/>
          <w:bCs/>
          <w:color w:val="auto"/>
          <w:sz w:val="32"/>
          <w:szCs w:val="32"/>
          <w:lang w:val="en-US" w:eastAsia="zh-CN"/>
        </w:rPr>
        <w:t>（二）提升粮食生产水平。</w:t>
      </w:r>
      <w:r>
        <w:rPr>
          <w:rFonts w:hint="eastAsia" w:ascii="仿宋_GB2312" w:hAnsi="Times New Roman" w:eastAsia="仿宋_GB2312" w:cs="Times New Roman"/>
          <w:color w:val="auto"/>
          <w:sz w:val="32"/>
          <w:szCs w:val="32"/>
          <w:lang w:val="en-US" w:eastAsia="zh-CN"/>
        </w:rPr>
        <w:t>扎实推进粮食生产全程机械化行动，用好用足农机购置和报废更新补贴政策，大力推广适应丘陵山区粮食生产的先进适用、智能高效、绿色生态的农机具，不断优化农机装备；结合生产实际及时新建或改造水稻工厂化机插育秧中心和标准化粮食烘干中心，持续提升粮食产地机插育秧和烘干能力，促进粮食产量与质量双提升。</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Times New Roman" w:eastAsia="仿宋_GB2312" w:cs="Times New Roman"/>
          <w:color w:val="auto"/>
          <w:sz w:val="32"/>
          <w:szCs w:val="32"/>
          <w:lang w:val="en-US" w:eastAsia="zh-CN"/>
        </w:rPr>
      </w:pPr>
      <w:r>
        <w:rPr>
          <w:rFonts w:hint="eastAsia" w:ascii="国标楷体-GB/T 2312" w:hAnsi="国标楷体-GB/T 2312" w:eastAsia="国标楷体-GB/T 2312" w:cs="国标楷体-GB/T 2312"/>
          <w:b/>
          <w:bCs/>
          <w:color w:val="auto"/>
          <w:sz w:val="32"/>
          <w:szCs w:val="32"/>
          <w:lang w:val="en-US" w:eastAsia="zh-CN"/>
        </w:rPr>
        <w:t>（三）促进粮食产业高质量发展。</w:t>
      </w:r>
      <w:r>
        <w:rPr>
          <w:rFonts w:hint="eastAsia" w:ascii="仿宋_GB2312" w:hAnsi="Times New Roman" w:eastAsia="仿宋_GB2312" w:cs="Times New Roman"/>
          <w:color w:val="auto"/>
          <w:sz w:val="32"/>
          <w:szCs w:val="32"/>
          <w:lang w:val="en-US" w:eastAsia="zh-CN"/>
        </w:rPr>
        <w:t>建设富硒优质稻展示示范片，重点示范推广米质达部颁二等以上的优质稻。积极引导耕地向种粮大户、家庭农场、农民合作社和农业生产社会化服务组织等新型农业经营主体和服务主体流转集中。在各级示范合作社、示范家庭农场的推荐申报和评审中，向粮食类主体倾斜。培育壮大粮食生产经营加工主体，重点支持一批综合实力较强的粮食加工龙头企业，加快技术改造、装备升级和商业模式创新，延伸粮食生产加工的产业链、价值链和供应链。</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eastAsia="zh-CN"/>
        </w:rPr>
        <w:t>二</w:t>
      </w:r>
      <w:r>
        <w:rPr>
          <w:rFonts w:hint="eastAsia" w:ascii="黑体" w:hAnsi="黑体" w:eastAsia="黑体" w:cs="黑体"/>
          <w:color w:val="auto"/>
          <w:sz w:val="32"/>
          <w:szCs w:val="32"/>
        </w:rPr>
        <w:t>、</w:t>
      </w:r>
      <w:r>
        <w:rPr>
          <w:rFonts w:hint="eastAsia" w:ascii="黑体" w:hAnsi="黑体" w:eastAsia="黑体" w:cs="黑体"/>
          <w:color w:val="auto"/>
          <w:sz w:val="32"/>
          <w:szCs w:val="32"/>
          <w:lang w:val="en-US" w:eastAsia="zh-CN"/>
        </w:rPr>
        <w:t>扶粮措施</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Times New Roman" w:eastAsia="仿宋_GB2312" w:cs="Times New Roman"/>
          <w:color w:val="auto"/>
          <w:sz w:val="32"/>
          <w:szCs w:val="32"/>
          <w:lang w:val="en-US" w:eastAsia="zh-CN"/>
        </w:rPr>
      </w:pPr>
      <w:r>
        <w:rPr>
          <w:rFonts w:hint="eastAsia" w:ascii="国标楷体-GB/T 2312" w:hAnsi="国标楷体-GB/T 2312" w:eastAsia="国标楷体-GB/T 2312" w:cs="国标楷体-GB/T 2312"/>
          <w:b/>
          <w:bCs/>
          <w:color w:val="auto"/>
          <w:sz w:val="32"/>
          <w:szCs w:val="32"/>
          <w:lang w:val="en-US" w:eastAsia="zh-CN"/>
        </w:rPr>
        <w:t>（一）鼓励种植粮食作物。</w:t>
      </w:r>
      <w:r>
        <w:rPr>
          <w:rFonts w:hint="eastAsia" w:ascii="仿宋_GB2312" w:hAnsi="Times New Roman" w:eastAsia="仿宋_GB2312" w:cs="Times New Roman"/>
          <w:color w:val="auto"/>
          <w:sz w:val="32"/>
          <w:szCs w:val="32"/>
          <w:lang w:val="en-US" w:eastAsia="zh-CN"/>
        </w:rPr>
        <w:t>对种植粮食作物面积达50亩及以上的经营主体（包括农户、种粮大户、家庭农场、农民专业合作社、农业企业等，下同），补助50元/亩，其中种植双季稻、再生稻和大豆的补助150元/亩。该项补助政策可与省、市级补助政策叠加享受。</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Times New Roman" w:eastAsia="仿宋_GB2312" w:cs="Times New Roman"/>
          <w:color w:val="auto"/>
          <w:sz w:val="32"/>
          <w:szCs w:val="32"/>
          <w:lang w:val="en-US" w:eastAsia="zh-CN"/>
        </w:rPr>
      </w:pPr>
      <w:r>
        <w:rPr>
          <w:rFonts w:hint="eastAsia" w:ascii="国标楷体-GB/T 2312" w:hAnsi="国标楷体-GB/T 2312" w:eastAsia="国标楷体-GB/T 2312" w:cs="国标楷体-GB/T 2312"/>
          <w:b/>
          <w:bCs/>
          <w:color w:val="auto"/>
          <w:sz w:val="32"/>
          <w:szCs w:val="32"/>
          <w:lang w:val="en-US" w:eastAsia="zh-CN"/>
        </w:rPr>
        <w:t>（二）鼓励抛荒撂荒耕地复垦种植粮食作物。</w:t>
      </w:r>
      <w:r>
        <w:rPr>
          <w:rFonts w:hint="eastAsia" w:ascii="仿宋_GB2312" w:hAnsi="Times New Roman" w:eastAsia="仿宋_GB2312" w:cs="Times New Roman"/>
          <w:color w:val="auto"/>
          <w:sz w:val="32"/>
          <w:szCs w:val="32"/>
          <w:lang w:val="en-US" w:eastAsia="zh-CN"/>
        </w:rPr>
        <w:t>继续开展“我在乡间有亩田”党员志愿活动，在全区范围内组织开展抛荒耕地认领活动，引导广大党员干部积极参与抛荒地复垦复耕。对抛荒耕地复垦后用于种植粮食作物，且相对集中连片种植面积达10亩及以上的经营主体，种植水稻的一次性补助600元/亩，种植玉米、甘薯、马铃薯等旱粮的一次性补助400元/亩。该项补助资金由市级和区级财政各承担50%，不与省级抛荒撂荒耕地复耕补助政策叠加享受。</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Times New Roman" w:eastAsia="仿宋_GB2312" w:cs="Times New Roman"/>
          <w:color w:val="auto"/>
          <w:sz w:val="32"/>
          <w:szCs w:val="32"/>
          <w:lang w:val="en-US" w:eastAsia="zh-CN"/>
        </w:rPr>
      </w:pPr>
      <w:r>
        <w:rPr>
          <w:rFonts w:hint="eastAsia" w:ascii="国标楷体-GB/T 2312" w:hAnsi="国标楷体-GB/T 2312" w:eastAsia="国标楷体-GB/T 2312" w:cs="国标楷体-GB/T 2312"/>
          <w:b/>
          <w:bCs/>
          <w:color w:val="auto"/>
          <w:sz w:val="32"/>
          <w:szCs w:val="32"/>
          <w:lang w:val="en-US" w:eastAsia="zh-CN"/>
        </w:rPr>
        <w:t>（三）鼓励耕地恢复性整治地块种植粮食作物。</w:t>
      </w:r>
      <w:r>
        <w:rPr>
          <w:rFonts w:hint="eastAsia" w:ascii="仿宋_GB2312" w:hAnsi="Times New Roman" w:eastAsia="仿宋_GB2312" w:cs="Times New Roman"/>
          <w:color w:val="auto"/>
          <w:sz w:val="32"/>
          <w:szCs w:val="32"/>
          <w:lang w:val="en-US" w:eastAsia="zh-CN"/>
        </w:rPr>
        <w:t>对区自然资源局2021年以来实施的耕地恢复性整治地块，</w:t>
      </w:r>
      <w:r>
        <w:rPr>
          <w:rFonts w:hint="eastAsia" w:ascii="仿宋_GB2312" w:hAnsi="Times New Roman" w:eastAsia="仿宋_GB2312" w:cs="Times New Roman"/>
          <w:color w:val="auto"/>
          <w:sz w:val="32"/>
          <w:szCs w:val="32"/>
          <w:shd w:val="clear" w:color="auto" w:fill="auto"/>
          <w:lang w:val="en-US" w:eastAsia="zh-CN"/>
        </w:rPr>
        <w:t>提升耕地地力后</w:t>
      </w:r>
      <w:r>
        <w:rPr>
          <w:rFonts w:hint="eastAsia" w:ascii="仿宋_GB2312" w:hAnsi="Times New Roman" w:eastAsia="仿宋_GB2312" w:cs="Times New Roman"/>
          <w:color w:val="auto"/>
          <w:sz w:val="32"/>
          <w:szCs w:val="32"/>
          <w:lang w:val="en-US" w:eastAsia="zh-CN"/>
        </w:rPr>
        <w:t>用于种植粮食作物且相对集中连片种植面积达10亩及以上的经营主体，种植水稻的一次性补助500元/亩，种植玉米、甘薯、马铃薯等旱粮的一次性补助300元/亩。</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Times New Roman" w:eastAsia="仿宋_GB2312" w:cs="Times New Roman"/>
          <w:color w:val="auto"/>
          <w:sz w:val="32"/>
          <w:szCs w:val="32"/>
          <w:lang w:val="en-US" w:eastAsia="zh-CN"/>
        </w:rPr>
      </w:pPr>
      <w:r>
        <w:rPr>
          <w:rFonts w:hint="eastAsia" w:ascii="国标楷体-GB/T 2312" w:hAnsi="国标楷体-GB/T 2312" w:eastAsia="国标楷体-GB/T 2312" w:cs="国标楷体-GB/T 2312"/>
          <w:b/>
          <w:bCs/>
          <w:color w:val="auto"/>
          <w:sz w:val="32"/>
          <w:szCs w:val="32"/>
          <w:lang w:val="en-US" w:eastAsia="zh-CN"/>
        </w:rPr>
        <w:t>（四）鼓励开展优良品种试验示范。</w:t>
      </w:r>
      <w:r>
        <w:rPr>
          <w:rFonts w:hint="eastAsia" w:ascii="仿宋_GB2312" w:hAnsi="Times New Roman" w:eastAsia="仿宋_GB2312" w:cs="Times New Roman"/>
          <w:color w:val="auto"/>
          <w:sz w:val="32"/>
          <w:szCs w:val="32"/>
          <w:lang w:val="en-US" w:eastAsia="zh-CN"/>
        </w:rPr>
        <w:t>每年建立优质稻、鲜食玉米等粮食新品种展示3个以上，新优品种示范点6个以上，加快高产、优质、高效、专用、绿色新品种示范推广，对实施新品种示范推广的经营主体给予奖补资金400元/亩。</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Times New Roman" w:eastAsia="仿宋_GB2312" w:cs="Times New Roman"/>
          <w:color w:val="auto"/>
          <w:sz w:val="32"/>
          <w:szCs w:val="32"/>
          <w:lang w:val="en-US" w:eastAsia="zh-CN"/>
        </w:rPr>
      </w:pPr>
      <w:r>
        <w:rPr>
          <w:rFonts w:hint="eastAsia" w:ascii="国标楷体-GB/T 2312" w:hAnsi="国标楷体-GB/T 2312" w:eastAsia="国标楷体-GB/T 2312" w:cs="国标楷体-GB/T 2312"/>
          <w:b/>
          <w:bCs/>
          <w:color w:val="auto"/>
          <w:sz w:val="32"/>
          <w:szCs w:val="32"/>
          <w:lang w:val="en-US" w:eastAsia="zh-CN"/>
        </w:rPr>
        <w:t>（五）鼓励规模种粮。</w:t>
      </w:r>
      <w:r>
        <w:rPr>
          <w:rFonts w:hint="eastAsia" w:ascii="仿宋_GB2312" w:hAnsi="Times New Roman" w:eastAsia="仿宋_GB2312" w:cs="Times New Roman"/>
          <w:color w:val="auto"/>
          <w:sz w:val="32"/>
          <w:szCs w:val="32"/>
          <w:lang w:val="en-US" w:eastAsia="zh-CN"/>
        </w:rPr>
        <w:t>耕地地力保护补贴资金在补贴标准相对稳定前提下向规模种粮户倾斜，种粮30亩及以上和100亩及以上的经营主体，采取当年补上年的方式，每亩分别给予60元和80元的叠加奖励补贴。</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Times New Roman" w:eastAsia="仿宋_GB2312" w:cs="Times New Roman"/>
          <w:color w:val="auto"/>
          <w:sz w:val="32"/>
          <w:szCs w:val="32"/>
          <w:lang w:val="en-US" w:eastAsia="zh-CN"/>
        </w:rPr>
      </w:pPr>
      <w:r>
        <w:rPr>
          <w:rFonts w:hint="eastAsia" w:ascii="国标楷体-GB/T 2312" w:hAnsi="国标楷体-GB/T 2312" w:eastAsia="国标楷体-GB/T 2312" w:cs="国标楷体-GB/T 2312"/>
          <w:b/>
          <w:bCs/>
          <w:color w:val="auto"/>
          <w:sz w:val="32"/>
          <w:szCs w:val="32"/>
          <w:lang w:val="en-US" w:eastAsia="zh-CN"/>
        </w:rPr>
        <w:t>（六）鼓励新型经营主体从事粮食生产。</w:t>
      </w:r>
      <w:r>
        <w:rPr>
          <w:rFonts w:hint="eastAsia" w:ascii="仿宋_GB2312" w:hAnsi="Times New Roman" w:eastAsia="仿宋_GB2312" w:cs="Times New Roman"/>
          <w:color w:val="auto"/>
          <w:sz w:val="32"/>
          <w:szCs w:val="32"/>
          <w:lang w:val="en-US" w:eastAsia="zh-CN"/>
        </w:rPr>
        <w:t>优先推荐粮食类经营主体申报国家级、省级和市级农民专业合作社优质社、家庭农场优质场，对当年度获评单位给予不超过5万元资金补助。支持和鼓励粮食生产、加工经营主体争创绿色、有机农产品认证，对新获得绿色食品、有机农产品品牌认证的，每个产品分别给予不超过1万元的奖励补助。</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上述扶粮措施中第一项至第四项按照就高不叠加原则享受，实行乡镇（街道)自行验收、区农业农村局审核的验收办法;实施内容于当年11月底前完成乡镇（街道)验收，验收时对补贴内容，根据土地流转合同、清单、影像图片、获证材料等资料予以验收确认。经营主体实际种粮面积应在所在行政村公示栏公示7天，无异议后，由乡镇（街道)汇总核实，经业务负责人、分管领导签字，加盖乡(镇)人民政府、街道办事处公章。乡镇（街道)应将相关验收资料整理汇编装订成册，一式两份，一份上报区农业农村局，一份乡镇（街道)留档；涉及的奖补资金从次年区级财政衔接推进乡村振兴专项资金预算中列支，封顶100万元，申报总金额超过补助金额的，按比例缩减后进行补助，条款中另有具体规定的除外。</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三、组织保障</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Times New Roman" w:eastAsia="仿宋_GB2312" w:cs="Times New Roman"/>
          <w:color w:val="auto"/>
          <w:sz w:val="32"/>
          <w:szCs w:val="32"/>
          <w:lang w:val="en-US" w:eastAsia="zh-CN"/>
        </w:rPr>
      </w:pPr>
      <w:r>
        <w:rPr>
          <w:rFonts w:hint="eastAsia" w:ascii="国标楷体-GB/T 2312" w:hAnsi="国标楷体-GB/T 2312" w:eastAsia="国标楷体-GB/T 2312" w:cs="国标楷体-GB/T 2312"/>
          <w:b/>
          <w:bCs/>
          <w:color w:val="auto"/>
          <w:sz w:val="32"/>
          <w:szCs w:val="32"/>
          <w:lang w:val="en-US" w:eastAsia="zh-CN"/>
        </w:rPr>
        <w:t>（一）强化组织领导。</w:t>
      </w:r>
      <w:r>
        <w:rPr>
          <w:rFonts w:hint="eastAsia" w:ascii="仿宋_GB2312" w:hAnsi="Times New Roman" w:eastAsia="仿宋_GB2312" w:cs="Times New Roman"/>
          <w:color w:val="auto"/>
          <w:sz w:val="32"/>
          <w:szCs w:val="32"/>
          <w:lang w:val="en-US" w:eastAsia="zh-CN"/>
        </w:rPr>
        <w:t>各单位要深入贯彻落实习近平总书记关于粮食安全的重要论述和党中央决策部署，牢固树立粮食安全观，坚持粮食安全党政同责，将粮食生产目标任务细化分解到村、种粮主体和田块，不断提高粮食自给水平和粮食安全保障能力。</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Times New Roman" w:eastAsia="仿宋_GB2312" w:cs="Times New Roman"/>
          <w:color w:val="auto"/>
          <w:sz w:val="32"/>
          <w:szCs w:val="32"/>
          <w:lang w:val="en-US" w:eastAsia="zh-CN"/>
        </w:rPr>
      </w:pPr>
      <w:r>
        <w:rPr>
          <w:rFonts w:hint="eastAsia" w:ascii="国标楷体-GB/T 2312" w:hAnsi="国标楷体-GB/T 2312" w:eastAsia="国标楷体-GB/T 2312" w:cs="国标楷体-GB/T 2312"/>
          <w:b/>
          <w:bCs/>
          <w:color w:val="auto"/>
          <w:sz w:val="32"/>
          <w:szCs w:val="32"/>
          <w:lang w:val="en-US" w:eastAsia="zh-CN"/>
        </w:rPr>
        <w:t>（二）夯实监督考核。</w:t>
      </w:r>
      <w:r>
        <w:rPr>
          <w:rFonts w:hint="eastAsia" w:ascii="仿宋_GB2312" w:hAnsi="Times New Roman" w:eastAsia="仿宋_GB2312" w:cs="Times New Roman"/>
          <w:color w:val="auto"/>
          <w:sz w:val="32"/>
          <w:szCs w:val="32"/>
          <w:lang w:val="en-US" w:eastAsia="zh-CN"/>
        </w:rPr>
        <w:t>建立粮食生产监督检查小组，定期对粮食生产任务完成情况、政策执行效果、资金使用效益等进行监督检查，及时发现问题并督促整改，将粮食生产工作纳入政府绩效考核体系，强化激励约束。</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Times New Roman" w:eastAsia="仿宋_GB2312" w:cs="Times New Roman"/>
          <w:color w:val="auto"/>
          <w:sz w:val="32"/>
          <w:szCs w:val="32"/>
          <w:lang w:val="en-US" w:eastAsia="zh-CN"/>
        </w:rPr>
      </w:pPr>
      <w:r>
        <w:rPr>
          <w:rFonts w:hint="eastAsia" w:ascii="国标楷体-GB/T 2312" w:hAnsi="国标楷体-GB/T 2312" w:eastAsia="国标楷体-GB/T 2312" w:cs="国标楷体-GB/T 2312"/>
          <w:b/>
          <w:bCs/>
          <w:color w:val="auto"/>
          <w:sz w:val="32"/>
          <w:szCs w:val="32"/>
          <w:lang w:val="en-US" w:eastAsia="zh-CN"/>
        </w:rPr>
        <w:t>（三）加强宣传引导。</w:t>
      </w:r>
      <w:r>
        <w:rPr>
          <w:rFonts w:hint="eastAsia" w:ascii="仿宋_GB2312" w:hAnsi="Times New Roman" w:eastAsia="仿宋_GB2312" w:cs="Times New Roman"/>
          <w:color w:val="auto"/>
          <w:sz w:val="32"/>
          <w:szCs w:val="32"/>
          <w:lang w:val="en-US" w:eastAsia="zh-CN"/>
        </w:rPr>
        <w:t>通过多种渠道广泛宣传促进粮食生产的政策措施和重要意义，提高农民种粮积极性和全社会对粮食安全的重视程度，营造良好的粮食生产氛围。</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仿宋_GB2312" w:eastAsia="仿宋_GB2312"/>
          <w:color w:val="auto"/>
          <w:sz w:val="32"/>
          <w:szCs w:val="32"/>
          <w:lang w:val="en-US" w:eastAsia="zh-CN"/>
        </w:rPr>
      </w:pPr>
      <w:r>
        <w:rPr>
          <w:rFonts w:hint="eastAsia" w:ascii="仿宋_GB2312" w:eastAsia="仿宋_GB2312"/>
          <w:color w:val="auto"/>
          <w:sz w:val="32"/>
          <w:szCs w:val="32"/>
          <w:lang w:val="en-US" w:eastAsia="zh-CN"/>
        </w:rPr>
        <w:t xml:space="preserve">    本政策措施自文件印发之日起施行,有效期至2025年12月31日，涉及的资金奖补政策以2025年1月1日为起算基准日。该政策由三明市三元区农业农村局和三明市三元区财政局负责解释。</w:t>
      </w:r>
    </w:p>
    <w:p>
      <w:pPr>
        <w:keepNext w:val="0"/>
        <w:keepLines w:val="0"/>
        <w:pageBreakBefore w:val="0"/>
        <w:widowControl w:val="0"/>
        <w:kinsoku/>
        <w:wordWrap/>
        <w:overflowPunct/>
        <w:topLinePunct w:val="0"/>
        <w:autoSpaceDE/>
        <w:autoSpaceDN/>
        <w:bidi w:val="0"/>
        <w:adjustRightInd/>
        <w:snapToGrid/>
        <w:spacing w:line="576" w:lineRule="exact"/>
        <w:ind w:firstLine="5440" w:firstLineChars="1700"/>
        <w:jc w:val="left"/>
        <w:textAlignment w:val="auto"/>
        <w:rPr>
          <w:rFonts w:hint="eastAsia" w:ascii="仿宋_GB2312" w:eastAsia="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eastAsia" w:ascii="仿宋_GB2312" w:eastAsia="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eastAsia" w:ascii="仿宋_GB2312" w:eastAsia="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eastAsia" w:ascii="仿宋_GB2312" w:eastAsia="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eastAsia" w:ascii="仿宋_GB2312" w:eastAsia="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eastAsia" w:ascii="仿宋_GB2312" w:eastAsia="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eastAsia" w:ascii="仿宋_GB2312" w:eastAsia="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eastAsia" w:ascii="仿宋_GB2312" w:eastAsia="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eastAsia" w:ascii="仿宋_GB2312" w:eastAsia="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eastAsia" w:ascii="仿宋_GB2312" w:eastAsia="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eastAsia" w:ascii="仿宋_GB2312" w:eastAsia="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eastAsia" w:ascii="仿宋_GB2312" w:eastAsia="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eastAsia" w:ascii="仿宋_GB2312" w:eastAsia="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eastAsia" w:ascii="仿宋_GB2312" w:eastAsia="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eastAsia" w:ascii="仿宋_GB2312" w:eastAsia="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eastAsia" w:ascii="仿宋_GB2312" w:eastAsia="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eastAsia" w:ascii="仿宋_GB2312" w:eastAsia="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eastAsia" w:ascii="仿宋_GB2312" w:eastAsia="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eastAsia" w:ascii="仿宋_GB2312" w:eastAsia="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eastAsia" w:ascii="仿宋_GB2312" w:eastAsia="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eastAsia" w:ascii="仿宋_GB2312" w:hAnsi="仿宋_GB2312"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eastAsia" w:ascii="仿宋_GB2312" w:eastAsia="仿宋_GB2312"/>
          <w:color w:val="auto"/>
          <w:sz w:val="32"/>
          <w:szCs w:val="32"/>
          <w:lang w:eastAsia="zh-CN"/>
        </w:rPr>
      </w:pPr>
      <w:r>
        <w:rPr>
          <w:sz w:val="30"/>
          <w:szCs w:val="30"/>
        </w:rPr>
        <mc:AlternateContent>
          <mc:Choice Requires="wps">
            <w:drawing>
              <wp:anchor distT="0" distB="0" distL="114300" distR="114300" simplePos="0" relativeHeight="251662336" behindDoc="0" locked="0" layoutInCell="1" allowOverlap="1">
                <wp:simplePos x="0" y="0"/>
                <wp:positionH relativeFrom="column">
                  <wp:posOffset>3175</wp:posOffset>
                </wp:positionH>
                <wp:positionV relativeFrom="paragraph">
                  <wp:posOffset>412115</wp:posOffset>
                </wp:positionV>
                <wp:extent cx="5702935" cy="13970"/>
                <wp:effectExtent l="0" t="4445" r="12065" b="10160"/>
                <wp:wrapNone/>
                <wp:docPr id="4" name="直接连接符 4"/>
                <wp:cNvGraphicFramePr/>
                <a:graphic xmlns:a="http://schemas.openxmlformats.org/drawingml/2006/main">
                  <a:graphicData uri="http://schemas.microsoft.com/office/word/2010/wordprocessingShape">
                    <wps:wsp>
                      <wps:cNvCnPr/>
                      <wps:spPr>
                        <a:xfrm>
                          <a:off x="0" y="0"/>
                          <a:ext cx="5702935" cy="1397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25pt;margin-top:32.45pt;height:1.1pt;width:449.05pt;z-index:251662336;mso-width-relative:page;mso-height-relative:page;" filled="f" stroked="t" coordsize="21600,21600" o:gfxdata="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FgAAAGRycy9QSwECFAAUAAAACACHTuJAlFg4ONQAAAAGAQAADwAAAAAAAAABACAA&#10;AAA4AAAAZHJzL2Rvd25yZXYueG1sUEsBAhQAFAAAAAgAh07iQClQHiX7AQAA6AMAAA4AAAAAAAAA&#10;AQAgAAAAOQEAAGRycy9lMm9Eb2MueG1sUEsFBgAAAAAGAAYAWQEAAKYFAAAAAA==&#10;">
                <v:fill on="f" focussize="0,0"/>
                <v:stroke color="#000000" joinstyle="round"/>
                <v:imagedata o:title=""/>
                <o:lock v:ext="edit" aspectratio="f"/>
              </v:line>
            </w:pict>
          </mc:Fallback>
        </mc:AlternateContent>
      </w:r>
      <w:r>
        <w:rPr>
          <w:sz w:val="30"/>
          <w:szCs w:val="30"/>
        </w:rPr>
        <mc:AlternateContent>
          <mc:Choice Requires="wps">
            <w:drawing>
              <wp:anchor distT="0" distB="0" distL="114300" distR="114300" simplePos="0" relativeHeight="251661312" behindDoc="0" locked="0" layoutInCell="1" allowOverlap="1">
                <wp:simplePos x="0" y="0"/>
                <wp:positionH relativeFrom="column">
                  <wp:posOffset>16510</wp:posOffset>
                </wp:positionH>
                <wp:positionV relativeFrom="paragraph">
                  <wp:posOffset>7620</wp:posOffset>
                </wp:positionV>
                <wp:extent cx="5661025" cy="15875"/>
                <wp:effectExtent l="0" t="4445" r="15875" b="8255"/>
                <wp:wrapNone/>
                <wp:docPr id="3" name="直接连接符 3"/>
                <wp:cNvGraphicFramePr/>
                <a:graphic xmlns:a="http://schemas.openxmlformats.org/drawingml/2006/main">
                  <a:graphicData uri="http://schemas.microsoft.com/office/word/2010/wordprocessingShape">
                    <wps:wsp>
                      <wps:cNvCnPr/>
                      <wps:spPr>
                        <a:xfrm flipV="1">
                          <a:off x="0" y="0"/>
                          <a:ext cx="5661025" cy="1587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flip:y;margin-left:1.3pt;margin-top:0.6pt;height:1.25pt;width:445.75pt;z-index:251661312;mso-width-relative:page;mso-height-relative:page;" filled="f" stroked="t" coordsize="21600,21600" o:gfxdata="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WAAAAZHJzL1BLAQIUABQAAAAIAIdO4kAy7C3K0wAAAAUBAAAPAAAAAAAAAAEA&#10;IAAAADgAAABkcnMvZG93bnJldi54bWxQSwECFAAUAAAACACHTuJAFMEL4f4BAADyAwAADgAAAAAA&#10;AAABACAAAAA4AQAAZHJzL2Uyb0RvYy54bWxQSwUGAAAAAAYABgBZAQAAqAUAAAAA&#10;">
                <v:fill on="f" focussize="0,0"/>
                <v:stroke color="#000000" joinstyle="round"/>
                <v:imagedata o:title=""/>
                <o:lock v:ext="edit" aspectratio="f"/>
              </v:line>
            </w:pict>
          </mc:Fallback>
        </mc:AlternateContent>
      </w:r>
      <w:r>
        <w:rPr>
          <w:rFonts w:hint="eastAsia" w:ascii="仿宋_GB2312" w:hAnsi="仿宋_GB2312" w:eastAsia="仿宋_GB2312" w:cs="仿宋_GB2312"/>
          <w:sz w:val="30"/>
          <w:szCs w:val="30"/>
        </w:rPr>
        <w:t xml:space="preserve">  三元区</w:t>
      </w:r>
      <w:r>
        <w:rPr>
          <w:rFonts w:hint="eastAsia" w:ascii="仿宋_GB2312" w:hAnsi="仿宋_GB2312" w:eastAsia="仿宋_GB2312" w:cs="仿宋_GB2312"/>
          <w:sz w:val="30"/>
          <w:szCs w:val="30"/>
          <w:lang w:eastAsia="zh-CN"/>
        </w:rPr>
        <w:t>农业农村局</w:t>
      </w:r>
      <w:r>
        <w:rPr>
          <w:rFonts w:hint="eastAsia" w:ascii="仿宋_GB2312" w:hAnsi="仿宋_GB2312" w:eastAsia="仿宋_GB2312" w:cs="仿宋_GB2312"/>
          <w:sz w:val="30"/>
          <w:szCs w:val="30"/>
        </w:rPr>
        <w:t xml:space="preserve">办公室       </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rPr>
        <w:t xml:space="preserve">    </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rPr>
        <w:t xml:space="preserve"> 202</w:t>
      </w:r>
      <w:r>
        <w:rPr>
          <w:rFonts w:hint="eastAsia" w:ascii="仿宋_GB2312" w:hAnsi="仿宋_GB2312" w:eastAsia="仿宋_GB2312" w:cs="仿宋_GB2312"/>
          <w:sz w:val="30"/>
          <w:szCs w:val="30"/>
          <w:lang w:val="en-US" w:eastAsia="zh-CN"/>
        </w:rPr>
        <w:t>5</w:t>
      </w:r>
      <w:r>
        <w:rPr>
          <w:rFonts w:hint="eastAsia" w:ascii="仿宋_GB2312" w:hAnsi="仿宋_GB2312" w:eastAsia="仿宋_GB2312" w:cs="仿宋_GB2312"/>
          <w:sz w:val="30"/>
          <w:szCs w:val="30"/>
        </w:rPr>
        <w:t>年</w:t>
      </w:r>
      <w:r>
        <w:rPr>
          <w:rFonts w:hint="eastAsia" w:ascii="仿宋_GB2312" w:hAnsi="仿宋_GB2312" w:eastAsia="仿宋_GB2312" w:cs="仿宋_GB2312"/>
          <w:sz w:val="30"/>
          <w:szCs w:val="30"/>
          <w:lang w:val="en-US" w:eastAsia="zh-CN"/>
        </w:rPr>
        <w:t>4</w:t>
      </w:r>
      <w:r>
        <w:rPr>
          <w:rFonts w:hint="eastAsia" w:ascii="仿宋_GB2312" w:hAnsi="仿宋_GB2312" w:eastAsia="仿宋_GB2312" w:cs="仿宋_GB2312"/>
          <w:sz w:val="30"/>
          <w:szCs w:val="30"/>
        </w:rPr>
        <w:t>月</w:t>
      </w:r>
      <w:r>
        <w:rPr>
          <w:rFonts w:hint="eastAsia" w:ascii="仿宋_GB2312" w:hAnsi="仿宋_GB2312" w:eastAsia="仿宋_GB2312" w:cs="仿宋_GB2312"/>
          <w:sz w:val="30"/>
          <w:szCs w:val="30"/>
          <w:lang w:val="en-US" w:eastAsia="zh-CN"/>
        </w:rPr>
        <w:t>28</w:t>
      </w:r>
      <w:r>
        <w:rPr>
          <w:rFonts w:hint="eastAsia" w:ascii="仿宋_GB2312" w:hAnsi="仿宋_GB2312" w:eastAsia="仿宋_GB2312" w:cs="仿宋_GB2312"/>
          <w:sz w:val="30"/>
          <w:szCs w:val="30"/>
        </w:rPr>
        <w:t>日印发</w:t>
      </w:r>
      <w:r>
        <w:rPr>
          <w:rFonts w:hint="eastAsia" w:ascii="仿宋_GB2312" w:eastAsia="仿宋_GB2312"/>
          <w:sz w:val="32"/>
          <w:szCs w:val="32"/>
        </w:rPr>
        <w:t xml:space="preserve">    </w:t>
      </w:r>
    </w:p>
    <w:sectPr>
      <w:footerReference r:id="rId7" w:type="first"/>
      <w:footerReference r:id="rId5" w:type="default"/>
      <w:footerReference r:id="rId6" w:type="even"/>
      <w:pgSz w:w="11906" w:h="16838"/>
      <w:pgMar w:top="2098" w:right="1474" w:bottom="1984" w:left="1474" w:header="851" w:footer="1417" w:gutter="0"/>
      <w:cols w:space="0" w:num="1"/>
      <w:titlePg/>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国标仿宋-GB/T 2312">
    <w:panose1 w:val="02000500000000000000"/>
    <w:charset w:val="86"/>
    <w:family w:val="auto"/>
    <w:pitch w:val="default"/>
    <w:sig w:usb0="800002AF" w:usb1="08476CF8" w:usb2="00000010" w:usb3="00000000" w:csb0="00040000" w:csb1="00000000"/>
  </w:font>
  <w:font w:name="Tahoma">
    <w:altName w:val="DejaVu Sans"/>
    <w:panose1 w:val="020B0604030504040204"/>
    <w:charset w:val="00"/>
    <w:family w:val="swiss"/>
    <w:pitch w:val="default"/>
    <w:sig w:usb0="00000000" w:usb1="00000000" w:usb2="00000029" w:usb3="00000000" w:csb0="200101FF" w:csb1="20280000"/>
  </w:font>
  <w:font w:name="方正小标宋简体">
    <w:panose1 w:val="02000000000000000000"/>
    <w:charset w:val="86"/>
    <w:family w:val="script"/>
    <w:pitch w:val="default"/>
    <w:sig w:usb0="A00002BF" w:usb1="184F6CFA" w:usb2="00000012" w:usb3="00000000" w:csb0="00040001" w:csb1="00000000"/>
  </w:font>
  <w:font w:name="方正黑体_GBK">
    <w:panose1 w:val="02000000000000000000"/>
    <w:charset w:val="86"/>
    <w:family w:val="auto"/>
    <w:pitch w:val="default"/>
    <w:sig w:usb0="A00002BF" w:usb1="38CF7CFA" w:usb2="00082016" w:usb3="00000000" w:csb0="00040001" w:csb1="00000000"/>
  </w:font>
  <w:font w:name="国标楷体-GB/T 2312">
    <w:panose1 w:val="02000500000000000000"/>
    <w:charset w:val="86"/>
    <w:family w:val="auto"/>
    <w:pitch w:val="default"/>
    <w:sig w:usb0="00000001" w:usb1="08000000" w:usb2="00000000" w:usb3="00000000" w:csb0="00040000" w:csb1="00000000"/>
  </w:font>
  <w:font w:name="方正宋体S-超大字符集(SIP)">
    <w:panose1 w:val="03000509000000000000"/>
    <w:charset w:val="86"/>
    <w:family w:val="auto"/>
    <w:pitch w:val="default"/>
    <w:sig w:usb0="00000003" w:usb1="0A0E08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right="360" w:firstLine="360"/>
      <w:jc w:val="cente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6"/>
                            <w:ind w:left="320" w:leftChars="100" w:right="320" w:rightChars="100"/>
                            <w:rPr>
                              <w:rStyle w:val="14"/>
                              <w:rFonts w:hint="eastAsia" w:asciiTheme="majorEastAsia" w:hAnsiTheme="majorEastAsia" w:eastAsiaTheme="majorEastAsia" w:cstheme="majorEastAsia"/>
                              <w:sz w:val="28"/>
                              <w:szCs w:val="28"/>
                            </w:rPr>
                          </w:pPr>
                          <w:r>
                            <w:rPr>
                              <w:rStyle w:val="14"/>
                              <w:rFonts w:hint="eastAsia" w:asciiTheme="majorEastAsia" w:hAnsiTheme="majorEastAsia" w:eastAsiaTheme="majorEastAsia" w:cstheme="majorEastAsia"/>
                              <w:sz w:val="28"/>
                              <w:szCs w:val="28"/>
                            </w:rPr>
                            <w:t>—</w:t>
                          </w:r>
                          <w:r>
                            <w:rPr>
                              <w:rStyle w:val="14"/>
                              <w:rFonts w:hint="eastAsia" w:asciiTheme="majorEastAsia" w:hAnsiTheme="majorEastAsia" w:eastAsiaTheme="majorEastAsia" w:cstheme="majorEastAsia"/>
                              <w:sz w:val="28"/>
                              <w:szCs w:val="28"/>
                              <w:lang w:val="en-US" w:eastAsia="zh-CN"/>
                            </w:rPr>
                            <w:t xml:space="preserve"> </w:t>
                          </w:r>
                          <w:r>
                            <w:rPr>
                              <w:rStyle w:val="14"/>
                              <w:rFonts w:hint="eastAsia" w:asciiTheme="majorEastAsia" w:hAnsiTheme="majorEastAsia" w:eastAsiaTheme="majorEastAsia" w:cstheme="majorEastAsia"/>
                              <w:sz w:val="28"/>
                              <w:szCs w:val="28"/>
                            </w:rPr>
                            <w:fldChar w:fldCharType="begin"/>
                          </w:r>
                          <w:r>
                            <w:rPr>
                              <w:rStyle w:val="14"/>
                              <w:rFonts w:hint="eastAsia" w:asciiTheme="majorEastAsia" w:hAnsiTheme="majorEastAsia" w:eastAsiaTheme="majorEastAsia" w:cstheme="majorEastAsia"/>
                              <w:sz w:val="28"/>
                              <w:szCs w:val="28"/>
                            </w:rPr>
                            <w:instrText xml:space="preserve">PAGE  </w:instrText>
                          </w:r>
                          <w:r>
                            <w:rPr>
                              <w:rStyle w:val="14"/>
                              <w:rFonts w:hint="eastAsia" w:asciiTheme="majorEastAsia" w:hAnsiTheme="majorEastAsia" w:eastAsiaTheme="majorEastAsia" w:cstheme="majorEastAsia"/>
                              <w:sz w:val="28"/>
                              <w:szCs w:val="28"/>
                            </w:rPr>
                            <w:fldChar w:fldCharType="separate"/>
                          </w:r>
                          <w:r>
                            <w:rPr>
                              <w:rStyle w:val="14"/>
                              <w:rFonts w:hint="eastAsia" w:asciiTheme="majorEastAsia" w:hAnsiTheme="majorEastAsia" w:eastAsiaTheme="majorEastAsia" w:cstheme="majorEastAsia"/>
                              <w:sz w:val="28"/>
                              <w:szCs w:val="28"/>
                            </w:rPr>
                            <w:t>11</w:t>
                          </w:r>
                          <w:r>
                            <w:rPr>
                              <w:rStyle w:val="14"/>
                              <w:rFonts w:hint="eastAsia" w:asciiTheme="majorEastAsia" w:hAnsiTheme="majorEastAsia" w:eastAsiaTheme="majorEastAsia" w:cstheme="majorEastAsia"/>
                              <w:sz w:val="28"/>
                              <w:szCs w:val="28"/>
                            </w:rPr>
                            <w:fldChar w:fldCharType="end"/>
                          </w:r>
                          <w:r>
                            <w:rPr>
                              <w:rStyle w:val="14"/>
                              <w:rFonts w:hint="eastAsia" w:asciiTheme="majorEastAsia" w:hAnsiTheme="majorEastAsia" w:eastAsiaTheme="majorEastAsia" w:cstheme="majorEastAsia"/>
                              <w:sz w:val="28"/>
                              <w:szCs w:val="28"/>
                              <w:lang w:val="en-US" w:eastAsia="zh-CN"/>
                            </w:rPr>
                            <w:t xml:space="preserve"> </w:t>
                          </w:r>
                          <w:r>
                            <w:rPr>
                              <w:rStyle w:val="14"/>
                              <w:rFonts w:hint="eastAsia" w:asciiTheme="majorEastAsia" w:hAnsiTheme="majorEastAsia" w:eastAsiaTheme="majorEastAsia" w:cstheme="majorEastAsia"/>
                              <w:sz w:val="28"/>
                              <w:szCs w:val="28"/>
                            </w:rPr>
                            <w:t>—</w:t>
                          </w:r>
                        </w:p>
                      </w:txbxContent>
                    </wps:txbx>
                    <wps:bodyPr wrap="none" lIns="0" tIns="0" rIns="0" bIns="0" upright="0">
                      <a:spAutoFit/>
                    </wps:bodyPr>
                  </wps:wsp>
                </a:graphicData>
              </a:graphic>
            </wp:anchor>
          </w:drawing>
        </mc:Choice>
        <mc:Fallback>
          <w:pict>
            <v:shape id="文本框 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BYAAABkcnMvUEsBAhQAFAAAAAgAh07iQM6pebnPAAAABQEAAA8AAAAAAAAA&#10;AQAgAAAAOAAAAGRycy9kb3ducmV2LnhtbFBLAQIUABQAAAAIAIdO4kBJWNfeywEAAJwDAAAOAAAA&#10;AAAAAAEAIAAAADQBAABkcnMvZTJvRG9jLnhtbFBLBQYAAAAABgAGAFkBAABxBQAAAAA=&#10;">
              <v:fill on="f" focussize="0,0"/>
              <v:stroke on="f"/>
              <v:imagedata o:title=""/>
              <o:lock v:ext="edit" aspectratio="f"/>
              <v:textbox inset="0mm,0mm,0mm,0mm" style="mso-fit-shape-to-text:t;">
                <w:txbxContent>
                  <w:p>
                    <w:pPr>
                      <w:pStyle w:val="6"/>
                      <w:ind w:left="320" w:leftChars="100" w:right="320" w:rightChars="100"/>
                      <w:rPr>
                        <w:rStyle w:val="14"/>
                        <w:rFonts w:hint="eastAsia" w:asciiTheme="majorEastAsia" w:hAnsiTheme="majorEastAsia" w:eastAsiaTheme="majorEastAsia" w:cstheme="majorEastAsia"/>
                        <w:sz w:val="28"/>
                        <w:szCs w:val="28"/>
                      </w:rPr>
                    </w:pPr>
                    <w:r>
                      <w:rPr>
                        <w:rStyle w:val="14"/>
                        <w:rFonts w:hint="eastAsia" w:asciiTheme="majorEastAsia" w:hAnsiTheme="majorEastAsia" w:eastAsiaTheme="majorEastAsia" w:cstheme="majorEastAsia"/>
                        <w:sz w:val="28"/>
                        <w:szCs w:val="28"/>
                      </w:rPr>
                      <w:t>—</w:t>
                    </w:r>
                    <w:r>
                      <w:rPr>
                        <w:rStyle w:val="14"/>
                        <w:rFonts w:hint="eastAsia" w:asciiTheme="majorEastAsia" w:hAnsiTheme="majorEastAsia" w:eastAsiaTheme="majorEastAsia" w:cstheme="majorEastAsia"/>
                        <w:sz w:val="28"/>
                        <w:szCs w:val="28"/>
                        <w:lang w:val="en-US" w:eastAsia="zh-CN"/>
                      </w:rPr>
                      <w:t xml:space="preserve"> </w:t>
                    </w:r>
                    <w:r>
                      <w:rPr>
                        <w:rStyle w:val="14"/>
                        <w:rFonts w:hint="eastAsia" w:asciiTheme="majorEastAsia" w:hAnsiTheme="majorEastAsia" w:eastAsiaTheme="majorEastAsia" w:cstheme="majorEastAsia"/>
                        <w:sz w:val="28"/>
                        <w:szCs w:val="28"/>
                      </w:rPr>
                      <w:fldChar w:fldCharType="begin"/>
                    </w:r>
                    <w:r>
                      <w:rPr>
                        <w:rStyle w:val="14"/>
                        <w:rFonts w:hint="eastAsia" w:asciiTheme="majorEastAsia" w:hAnsiTheme="majorEastAsia" w:eastAsiaTheme="majorEastAsia" w:cstheme="majorEastAsia"/>
                        <w:sz w:val="28"/>
                        <w:szCs w:val="28"/>
                      </w:rPr>
                      <w:instrText xml:space="preserve">PAGE  </w:instrText>
                    </w:r>
                    <w:r>
                      <w:rPr>
                        <w:rStyle w:val="14"/>
                        <w:rFonts w:hint="eastAsia" w:asciiTheme="majorEastAsia" w:hAnsiTheme="majorEastAsia" w:eastAsiaTheme="majorEastAsia" w:cstheme="majorEastAsia"/>
                        <w:sz w:val="28"/>
                        <w:szCs w:val="28"/>
                      </w:rPr>
                      <w:fldChar w:fldCharType="separate"/>
                    </w:r>
                    <w:r>
                      <w:rPr>
                        <w:rStyle w:val="14"/>
                        <w:rFonts w:hint="eastAsia" w:asciiTheme="majorEastAsia" w:hAnsiTheme="majorEastAsia" w:eastAsiaTheme="majorEastAsia" w:cstheme="majorEastAsia"/>
                        <w:sz w:val="28"/>
                        <w:szCs w:val="28"/>
                      </w:rPr>
                      <w:t>11</w:t>
                    </w:r>
                    <w:r>
                      <w:rPr>
                        <w:rStyle w:val="14"/>
                        <w:rFonts w:hint="eastAsia" w:asciiTheme="majorEastAsia" w:hAnsiTheme="majorEastAsia" w:eastAsiaTheme="majorEastAsia" w:cstheme="majorEastAsia"/>
                        <w:sz w:val="28"/>
                        <w:szCs w:val="28"/>
                      </w:rPr>
                      <w:fldChar w:fldCharType="end"/>
                    </w:r>
                    <w:r>
                      <w:rPr>
                        <w:rStyle w:val="14"/>
                        <w:rFonts w:hint="eastAsia" w:asciiTheme="majorEastAsia" w:hAnsiTheme="majorEastAsia" w:eastAsiaTheme="majorEastAsia" w:cstheme="majorEastAsia"/>
                        <w:sz w:val="28"/>
                        <w:szCs w:val="28"/>
                        <w:lang w:val="en-US" w:eastAsia="zh-CN"/>
                      </w:rPr>
                      <w:t xml:space="preserve"> </w:t>
                    </w:r>
                    <w:r>
                      <w:rPr>
                        <w:rStyle w:val="14"/>
                        <w:rFonts w:hint="eastAsia" w:asciiTheme="majorEastAsia" w:hAnsiTheme="majorEastAsia" w:eastAsiaTheme="majorEastAsia" w:cstheme="majorEastAsia"/>
                        <w:sz w:val="28"/>
                        <w:szCs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outside" w:y="1"/>
      <w:rPr>
        <w:rStyle w:val="14"/>
      </w:rPr>
    </w:pPr>
    <w:r>
      <w:rPr>
        <w:rStyle w:val="14"/>
      </w:rPr>
      <w:fldChar w:fldCharType="begin"/>
    </w:r>
    <w:r>
      <w:rPr>
        <w:rStyle w:val="14"/>
      </w:rPr>
      <w:instrText xml:space="preserve">PAGE  </w:instrText>
    </w:r>
    <w:r>
      <w:rPr>
        <w:rStyle w:val="14"/>
      </w:rPr>
      <w:fldChar w:fldCharType="end"/>
    </w:r>
  </w:p>
  <w:p>
    <w:pPr>
      <w:pStyle w:val="6"/>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right="360"/>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6"/>
                            <w:keepNext w:val="0"/>
                            <w:keepLines w:val="0"/>
                            <w:pageBreakBefore w:val="0"/>
                            <w:widowControl w:val="0"/>
                            <w:kinsoku/>
                            <w:wordWrap/>
                            <w:overflowPunct/>
                            <w:topLinePunct w:val="0"/>
                            <w:autoSpaceDE/>
                            <w:autoSpaceDN/>
                            <w:bidi w:val="0"/>
                            <w:adjustRightInd w:val="0"/>
                            <w:snapToGrid w:val="0"/>
                            <w:ind w:left="320" w:leftChars="100" w:right="320" w:rightChars="100"/>
                            <w:textAlignment w:val="auto"/>
                            <w:rPr>
                              <w:rFonts w:hint="eastAsia" w:eastAsia="宋体"/>
                              <w:sz w:val="28"/>
                              <w:szCs w:val="28"/>
                              <w:lang w:eastAsia="zh-CN"/>
                            </w:rPr>
                          </w:pPr>
                          <w:r>
                            <w:rPr>
                              <w:rFonts w:hint="eastAsia" w:ascii="宋体" w:hAnsi="宋体" w:eastAsia="宋体" w:cs="宋体"/>
                              <w:sz w:val="28"/>
                              <w:szCs w:val="28"/>
                              <w:lang w:eastAsia="zh-CN"/>
                            </w:rPr>
                            <w:t>—</w:t>
                          </w:r>
                          <w:r>
                            <w:rPr>
                              <w:rFonts w:hint="eastAsia" w:eastAsia="宋体" w:cs="宋体"/>
                              <w:sz w:val="28"/>
                              <w:szCs w:val="28"/>
                              <w:lang w:val="en-US" w:eastAsia="zh-CN"/>
                            </w:rPr>
                            <w:t xml:space="preserve"> </w:t>
                          </w: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1</w:t>
                          </w:r>
                          <w:r>
                            <w:rPr>
                              <w:rFonts w:hint="eastAsia"/>
                              <w:sz w:val="28"/>
                              <w:szCs w:val="28"/>
                              <w:lang w:eastAsia="zh-CN"/>
                            </w:rPr>
                            <w:fldChar w:fldCharType="end"/>
                          </w:r>
                          <w:r>
                            <w:rPr>
                              <w:rFonts w:hint="eastAsia"/>
                              <w:sz w:val="28"/>
                              <w:szCs w:val="28"/>
                              <w:lang w:val="en-US" w:eastAsia="zh-CN"/>
                            </w:rPr>
                            <w:t xml:space="preserve"> </w:t>
                          </w:r>
                          <w:r>
                            <w:rPr>
                              <w:rFonts w:hint="eastAsia" w:ascii="宋体" w:hAnsi="宋体" w:eastAsia="宋体" w:cs="宋体"/>
                              <w:sz w:val="28"/>
                              <w:szCs w:val="28"/>
                              <w:lang w:eastAsia="zh-CN"/>
                            </w:rPr>
                            <w:t>—</w:t>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BYAAABkcnMvUEsBAhQAFAAAAAgAh07iQM6pebnPAAAABQEAAA8AAAAAAAAA&#10;AQAgAAAAOAAAAGRycy9kb3ducmV2LnhtbFBLAQIUABQAAAAIAIdO4kBWSAveywEAAJwDAAAOAAAA&#10;AAAAAAEAIAAAADQBAABkcnMvZTJvRG9jLnhtbFBLBQYAAAAABgAGAFkBAABxBQAAAAA=&#10;">
              <v:fill on="f" focussize="0,0"/>
              <v:stroke on="f"/>
              <v:imagedata o:title=""/>
              <o:lock v:ext="edit" aspectratio="f"/>
              <v:textbox inset="0mm,0mm,0mm,0mm" style="mso-fit-shape-to-text:t;">
                <w:txbxContent>
                  <w:p>
                    <w:pPr>
                      <w:pStyle w:val="6"/>
                      <w:keepNext w:val="0"/>
                      <w:keepLines w:val="0"/>
                      <w:pageBreakBefore w:val="0"/>
                      <w:widowControl w:val="0"/>
                      <w:kinsoku/>
                      <w:wordWrap/>
                      <w:overflowPunct/>
                      <w:topLinePunct w:val="0"/>
                      <w:autoSpaceDE/>
                      <w:autoSpaceDN/>
                      <w:bidi w:val="0"/>
                      <w:adjustRightInd w:val="0"/>
                      <w:snapToGrid w:val="0"/>
                      <w:ind w:left="320" w:leftChars="100" w:right="320" w:rightChars="100"/>
                      <w:textAlignment w:val="auto"/>
                      <w:rPr>
                        <w:rFonts w:hint="eastAsia" w:eastAsia="宋体"/>
                        <w:sz w:val="28"/>
                        <w:szCs w:val="28"/>
                        <w:lang w:eastAsia="zh-CN"/>
                      </w:rPr>
                    </w:pPr>
                    <w:r>
                      <w:rPr>
                        <w:rFonts w:hint="eastAsia" w:ascii="宋体" w:hAnsi="宋体" w:eastAsia="宋体" w:cs="宋体"/>
                        <w:sz w:val="28"/>
                        <w:szCs w:val="28"/>
                        <w:lang w:eastAsia="zh-CN"/>
                      </w:rPr>
                      <w:t>—</w:t>
                    </w:r>
                    <w:r>
                      <w:rPr>
                        <w:rFonts w:hint="eastAsia" w:eastAsia="宋体" w:cs="宋体"/>
                        <w:sz w:val="28"/>
                        <w:szCs w:val="28"/>
                        <w:lang w:val="en-US" w:eastAsia="zh-CN"/>
                      </w:rPr>
                      <w:t xml:space="preserve"> </w:t>
                    </w: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1</w:t>
                    </w:r>
                    <w:r>
                      <w:rPr>
                        <w:rFonts w:hint="eastAsia"/>
                        <w:sz w:val="28"/>
                        <w:szCs w:val="28"/>
                        <w:lang w:eastAsia="zh-CN"/>
                      </w:rPr>
                      <w:fldChar w:fldCharType="end"/>
                    </w:r>
                    <w:r>
                      <w:rPr>
                        <w:rFonts w:hint="eastAsia"/>
                        <w:sz w:val="28"/>
                        <w:szCs w:val="28"/>
                        <w:lang w:val="en-US" w:eastAsia="zh-CN"/>
                      </w:rPr>
                      <w:t xml:space="preserve"> </w:t>
                    </w:r>
                    <w:r>
                      <w:rPr>
                        <w:rFonts w:hint="eastAsia" w:ascii="宋体" w:hAnsi="宋体" w:eastAsia="宋体" w:cs="宋体"/>
                        <w:sz w:val="28"/>
                        <w:szCs w:val="28"/>
                        <w:lang w:eastAsia="zh-CN"/>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QwMDdhZDRiMDZhMGQ3Y2M2NmVhYjBhM2FkNzUyYWEifQ=="/>
  </w:docVars>
  <w:rsids>
    <w:rsidRoot w:val="00DD0911"/>
    <w:rsid w:val="00024228"/>
    <w:rsid w:val="0004772B"/>
    <w:rsid w:val="000601DE"/>
    <w:rsid w:val="00073985"/>
    <w:rsid w:val="00090205"/>
    <w:rsid w:val="001030CC"/>
    <w:rsid w:val="001073A3"/>
    <w:rsid w:val="001128DA"/>
    <w:rsid w:val="001C570C"/>
    <w:rsid w:val="001C7689"/>
    <w:rsid w:val="001D2E10"/>
    <w:rsid w:val="001F093F"/>
    <w:rsid w:val="001F23B0"/>
    <w:rsid w:val="002075F6"/>
    <w:rsid w:val="00220DB4"/>
    <w:rsid w:val="0022511E"/>
    <w:rsid w:val="002403CF"/>
    <w:rsid w:val="00282D5A"/>
    <w:rsid w:val="00291BE4"/>
    <w:rsid w:val="002B515A"/>
    <w:rsid w:val="002C7A2C"/>
    <w:rsid w:val="003063B4"/>
    <w:rsid w:val="00323166"/>
    <w:rsid w:val="00334D83"/>
    <w:rsid w:val="00365067"/>
    <w:rsid w:val="0037764E"/>
    <w:rsid w:val="00394329"/>
    <w:rsid w:val="003B681E"/>
    <w:rsid w:val="003D3561"/>
    <w:rsid w:val="003E6E3E"/>
    <w:rsid w:val="004033E7"/>
    <w:rsid w:val="0041365F"/>
    <w:rsid w:val="00417030"/>
    <w:rsid w:val="004263B4"/>
    <w:rsid w:val="0043406A"/>
    <w:rsid w:val="004420CF"/>
    <w:rsid w:val="0044712E"/>
    <w:rsid w:val="00475086"/>
    <w:rsid w:val="00476C1C"/>
    <w:rsid w:val="004A5CEA"/>
    <w:rsid w:val="004D4795"/>
    <w:rsid w:val="004D5934"/>
    <w:rsid w:val="004E62A6"/>
    <w:rsid w:val="00510209"/>
    <w:rsid w:val="00537DF0"/>
    <w:rsid w:val="0058213B"/>
    <w:rsid w:val="005B43C1"/>
    <w:rsid w:val="005B482D"/>
    <w:rsid w:val="0064126B"/>
    <w:rsid w:val="006546CC"/>
    <w:rsid w:val="0065590B"/>
    <w:rsid w:val="007134EB"/>
    <w:rsid w:val="0072193D"/>
    <w:rsid w:val="0075633E"/>
    <w:rsid w:val="00760939"/>
    <w:rsid w:val="007A4B2C"/>
    <w:rsid w:val="007E6258"/>
    <w:rsid w:val="007F7BDB"/>
    <w:rsid w:val="0082409A"/>
    <w:rsid w:val="00842187"/>
    <w:rsid w:val="00855CA4"/>
    <w:rsid w:val="00855E07"/>
    <w:rsid w:val="00856AAB"/>
    <w:rsid w:val="00862929"/>
    <w:rsid w:val="00866074"/>
    <w:rsid w:val="00894B73"/>
    <w:rsid w:val="008A1177"/>
    <w:rsid w:val="009030FB"/>
    <w:rsid w:val="009145C6"/>
    <w:rsid w:val="00922309"/>
    <w:rsid w:val="009315C2"/>
    <w:rsid w:val="0095264D"/>
    <w:rsid w:val="00956367"/>
    <w:rsid w:val="00966E9D"/>
    <w:rsid w:val="009811FC"/>
    <w:rsid w:val="009B3093"/>
    <w:rsid w:val="009D1EEC"/>
    <w:rsid w:val="009D22D3"/>
    <w:rsid w:val="00A0411B"/>
    <w:rsid w:val="00A16349"/>
    <w:rsid w:val="00A165E3"/>
    <w:rsid w:val="00A24FBC"/>
    <w:rsid w:val="00A32030"/>
    <w:rsid w:val="00A73E1A"/>
    <w:rsid w:val="00A81BD9"/>
    <w:rsid w:val="00A8420F"/>
    <w:rsid w:val="00A90A9A"/>
    <w:rsid w:val="00A972AE"/>
    <w:rsid w:val="00AB2AFB"/>
    <w:rsid w:val="00AD59D8"/>
    <w:rsid w:val="00AF4553"/>
    <w:rsid w:val="00B01788"/>
    <w:rsid w:val="00B50748"/>
    <w:rsid w:val="00B54DF4"/>
    <w:rsid w:val="00B82EA9"/>
    <w:rsid w:val="00B855CD"/>
    <w:rsid w:val="00BA321A"/>
    <w:rsid w:val="00BB7052"/>
    <w:rsid w:val="00BE1F1B"/>
    <w:rsid w:val="00BE35FA"/>
    <w:rsid w:val="00BE4F7B"/>
    <w:rsid w:val="00C20A10"/>
    <w:rsid w:val="00C42822"/>
    <w:rsid w:val="00C50FB3"/>
    <w:rsid w:val="00C662CA"/>
    <w:rsid w:val="00C73FA8"/>
    <w:rsid w:val="00C74DF2"/>
    <w:rsid w:val="00C75EAF"/>
    <w:rsid w:val="00C80192"/>
    <w:rsid w:val="00CA0BAA"/>
    <w:rsid w:val="00CA7279"/>
    <w:rsid w:val="00CC04CD"/>
    <w:rsid w:val="00CC6B89"/>
    <w:rsid w:val="00CD6F8B"/>
    <w:rsid w:val="00CE4031"/>
    <w:rsid w:val="00D244A5"/>
    <w:rsid w:val="00D7728A"/>
    <w:rsid w:val="00D83C3C"/>
    <w:rsid w:val="00DC315D"/>
    <w:rsid w:val="00DD0911"/>
    <w:rsid w:val="00DE4E17"/>
    <w:rsid w:val="00E26428"/>
    <w:rsid w:val="00E27701"/>
    <w:rsid w:val="00E322CE"/>
    <w:rsid w:val="00E35BFB"/>
    <w:rsid w:val="00E61EB1"/>
    <w:rsid w:val="00EA5830"/>
    <w:rsid w:val="00EA6560"/>
    <w:rsid w:val="00EA7477"/>
    <w:rsid w:val="00EB4ECA"/>
    <w:rsid w:val="00EB62F3"/>
    <w:rsid w:val="00EC1F7B"/>
    <w:rsid w:val="00ED4FAF"/>
    <w:rsid w:val="00EE7F7E"/>
    <w:rsid w:val="00F04AC4"/>
    <w:rsid w:val="00F069DC"/>
    <w:rsid w:val="00F145BA"/>
    <w:rsid w:val="00F25EF3"/>
    <w:rsid w:val="00F83B8D"/>
    <w:rsid w:val="00FC5D49"/>
    <w:rsid w:val="00FD2710"/>
    <w:rsid w:val="01BF0D69"/>
    <w:rsid w:val="038A573E"/>
    <w:rsid w:val="04DF4CE9"/>
    <w:rsid w:val="062E1E31"/>
    <w:rsid w:val="06A6630C"/>
    <w:rsid w:val="070A3A44"/>
    <w:rsid w:val="07CB50CE"/>
    <w:rsid w:val="08BC1B89"/>
    <w:rsid w:val="0A98312F"/>
    <w:rsid w:val="0A9A6BA7"/>
    <w:rsid w:val="0B6019F2"/>
    <w:rsid w:val="0B987394"/>
    <w:rsid w:val="0C764BF9"/>
    <w:rsid w:val="11E11D4F"/>
    <w:rsid w:val="13BF5A76"/>
    <w:rsid w:val="14D00E56"/>
    <w:rsid w:val="180B7F5C"/>
    <w:rsid w:val="18954E2A"/>
    <w:rsid w:val="18FD7B8B"/>
    <w:rsid w:val="1A2C70C8"/>
    <w:rsid w:val="1C49395C"/>
    <w:rsid w:val="1C7655E5"/>
    <w:rsid w:val="1D526A9B"/>
    <w:rsid w:val="1D5E6462"/>
    <w:rsid w:val="1DF6779F"/>
    <w:rsid w:val="1F242A63"/>
    <w:rsid w:val="1F3233D2"/>
    <w:rsid w:val="205352E8"/>
    <w:rsid w:val="20687B8E"/>
    <w:rsid w:val="20B463EF"/>
    <w:rsid w:val="214713D7"/>
    <w:rsid w:val="21D05D02"/>
    <w:rsid w:val="22490414"/>
    <w:rsid w:val="23223AFA"/>
    <w:rsid w:val="23360FB7"/>
    <w:rsid w:val="25156C9A"/>
    <w:rsid w:val="2587EFAA"/>
    <w:rsid w:val="260B69A7"/>
    <w:rsid w:val="26992B4B"/>
    <w:rsid w:val="26E02496"/>
    <w:rsid w:val="29B82726"/>
    <w:rsid w:val="2A405649"/>
    <w:rsid w:val="2AA41590"/>
    <w:rsid w:val="2B9601FE"/>
    <w:rsid w:val="2BB3118F"/>
    <w:rsid w:val="2BB65261"/>
    <w:rsid w:val="2DC919DD"/>
    <w:rsid w:val="2E8A142E"/>
    <w:rsid w:val="2EFA6479"/>
    <w:rsid w:val="2F6B7A1F"/>
    <w:rsid w:val="30BE267A"/>
    <w:rsid w:val="31AC3207"/>
    <w:rsid w:val="31C64CB7"/>
    <w:rsid w:val="334B6829"/>
    <w:rsid w:val="35B34ADF"/>
    <w:rsid w:val="3617779E"/>
    <w:rsid w:val="362B6F6E"/>
    <w:rsid w:val="366B0DA7"/>
    <w:rsid w:val="377D0D7B"/>
    <w:rsid w:val="37A82434"/>
    <w:rsid w:val="39291B42"/>
    <w:rsid w:val="3A2F1A0C"/>
    <w:rsid w:val="3B365C77"/>
    <w:rsid w:val="3B564D66"/>
    <w:rsid w:val="3C412618"/>
    <w:rsid w:val="3C6B03B7"/>
    <w:rsid w:val="3DAA652F"/>
    <w:rsid w:val="3E8A0BD2"/>
    <w:rsid w:val="41200F32"/>
    <w:rsid w:val="4129081F"/>
    <w:rsid w:val="42A258CA"/>
    <w:rsid w:val="42FF12F7"/>
    <w:rsid w:val="431A32D7"/>
    <w:rsid w:val="4413593C"/>
    <w:rsid w:val="46205483"/>
    <w:rsid w:val="47451A6D"/>
    <w:rsid w:val="47A60035"/>
    <w:rsid w:val="47CA7B5E"/>
    <w:rsid w:val="48CB250D"/>
    <w:rsid w:val="48E77CCF"/>
    <w:rsid w:val="49695235"/>
    <w:rsid w:val="4C1F6E9E"/>
    <w:rsid w:val="4CC55F1E"/>
    <w:rsid w:val="4DF5657F"/>
    <w:rsid w:val="4F6C34E7"/>
    <w:rsid w:val="4FE60E40"/>
    <w:rsid w:val="4FFE015F"/>
    <w:rsid w:val="50211405"/>
    <w:rsid w:val="51EF7344"/>
    <w:rsid w:val="536C30C9"/>
    <w:rsid w:val="559519EA"/>
    <w:rsid w:val="560F1798"/>
    <w:rsid w:val="563B7F21"/>
    <w:rsid w:val="569B2CB0"/>
    <w:rsid w:val="57363B57"/>
    <w:rsid w:val="587555B6"/>
    <w:rsid w:val="59B02544"/>
    <w:rsid w:val="59D74119"/>
    <w:rsid w:val="59FB8658"/>
    <w:rsid w:val="5B052E4C"/>
    <w:rsid w:val="5B2575EE"/>
    <w:rsid w:val="5C9E0B95"/>
    <w:rsid w:val="5D5C3F4C"/>
    <w:rsid w:val="5D9FF965"/>
    <w:rsid w:val="5DC968E4"/>
    <w:rsid w:val="5EC15C1B"/>
    <w:rsid w:val="5FBF9D0A"/>
    <w:rsid w:val="602C1067"/>
    <w:rsid w:val="60ED3C42"/>
    <w:rsid w:val="60F5454D"/>
    <w:rsid w:val="612440E6"/>
    <w:rsid w:val="62B52F8B"/>
    <w:rsid w:val="63696068"/>
    <w:rsid w:val="649C04A0"/>
    <w:rsid w:val="663A3E2E"/>
    <w:rsid w:val="671270EB"/>
    <w:rsid w:val="675A3F02"/>
    <w:rsid w:val="68A768AA"/>
    <w:rsid w:val="6B9F769E"/>
    <w:rsid w:val="6BC127FA"/>
    <w:rsid w:val="6C2A53E2"/>
    <w:rsid w:val="6C2B259B"/>
    <w:rsid w:val="6DFFCF6C"/>
    <w:rsid w:val="6E992681"/>
    <w:rsid w:val="6EE36ECA"/>
    <w:rsid w:val="706F2434"/>
    <w:rsid w:val="70AF10CA"/>
    <w:rsid w:val="70FFE7F0"/>
    <w:rsid w:val="7166772B"/>
    <w:rsid w:val="71BC3E8D"/>
    <w:rsid w:val="71DB5634"/>
    <w:rsid w:val="7237751F"/>
    <w:rsid w:val="72C22896"/>
    <w:rsid w:val="73C87621"/>
    <w:rsid w:val="740659B9"/>
    <w:rsid w:val="753F5627"/>
    <w:rsid w:val="75FB5533"/>
    <w:rsid w:val="7735228D"/>
    <w:rsid w:val="7742300C"/>
    <w:rsid w:val="77B67810"/>
    <w:rsid w:val="7A7B0AFC"/>
    <w:rsid w:val="7BFF230D"/>
    <w:rsid w:val="7BFF3172"/>
    <w:rsid w:val="7BFFA7D0"/>
    <w:rsid w:val="7C4B25F4"/>
    <w:rsid w:val="7CC749EF"/>
    <w:rsid w:val="7D960286"/>
    <w:rsid w:val="7E5B4C18"/>
    <w:rsid w:val="7EF76C06"/>
    <w:rsid w:val="7F286EE4"/>
    <w:rsid w:val="7F5F2CC2"/>
    <w:rsid w:val="7FBC5B1B"/>
    <w:rsid w:val="917F6491"/>
    <w:rsid w:val="9FFF2F3A"/>
    <w:rsid w:val="AB9C6B3A"/>
    <w:rsid w:val="AFF7E0CF"/>
    <w:rsid w:val="B0F96141"/>
    <w:rsid w:val="BBD25080"/>
    <w:rsid w:val="BD998D82"/>
    <w:rsid w:val="D3BE4B38"/>
    <w:rsid w:val="DCD5995A"/>
    <w:rsid w:val="DEEF1041"/>
    <w:rsid w:val="EEF7DA56"/>
    <w:rsid w:val="F1CF7982"/>
    <w:rsid w:val="F2BBB688"/>
    <w:rsid w:val="F33C29C5"/>
    <w:rsid w:val="F4EFF460"/>
    <w:rsid w:val="F73BBD8E"/>
    <w:rsid w:val="F7DED047"/>
    <w:rsid w:val="F7FED8E1"/>
    <w:rsid w:val="F87B363A"/>
    <w:rsid w:val="FBAE35B3"/>
    <w:rsid w:val="FD1F5445"/>
    <w:rsid w:val="FE1F0EFB"/>
    <w:rsid w:val="FEED02C2"/>
    <w:rsid w:val="FEFC0F59"/>
    <w:rsid w:val="FFD99B35"/>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0" w:semiHidden="0"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35"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ocked="1"/>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ocked="1"/>
    <w:lsdException w:unhideWhenUsed="0" w:uiPriority="0" w:semiHidden="0" w:name="Salutation"/>
    <w:lsdException w:qFormat="1" w:unhideWhenUsed="0" w:uiPriority="99"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ocked="1"/>
    <w:lsdException w:qFormat="1" w:unhideWhenUsed="0" w:uiPriority="20" w:semiHidden="0" w:name="Emphasis" w:locked="1"/>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0" w:semiHidden="0" w:name="Balloon Text"/>
    <w:lsdException w:qFormat="1"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40" w:lineRule="exact"/>
      <w:jc w:val="both"/>
    </w:pPr>
    <w:rPr>
      <w:rFonts w:ascii="Calibri" w:hAnsi="Calibri" w:eastAsia="国标仿宋-GB/T 2312" w:cs="Times New Roman"/>
      <w:kern w:val="2"/>
      <w:sz w:val="32"/>
      <w:szCs w:val="24"/>
      <w:lang w:val="en-US" w:eastAsia="zh-CN" w:bidi="ar-SA"/>
    </w:rPr>
  </w:style>
  <w:style w:type="paragraph" w:styleId="2">
    <w:name w:val="heading 3"/>
    <w:basedOn w:val="1"/>
    <w:next w:val="1"/>
    <w:unhideWhenUsed/>
    <w:qFormat/>
    <w:locked/>
    <w:uiPriority w:val="0"/>
    <w:pPr>
      <w:keepNext/>
      <w:keepLines/>
      <w:spacing w:before="260" w:after="260" w:line="416" w:lineRule="auto"/>
      <w:outlineLvl w:val="2"/>
    </w:pPr>
    <w:rPr>
      <w:b/>
      <w:bCs/>
      <w:sz w:val="32"/>
      <w:szCs w:val="32"/>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16"/>
    <w:qFormat/>
    <w:uiPriority w:val="99"/>
    <w:pPr>
      <w:spacing w:after="120"/>
    </w:pPr>
    <w:rPr>
      <w:rFonts w:ascii="Times New Roman" w:hAnsi="Times New Roman"/>
    </w:rPr>
  </w:style>
  <w:style w:type="paragraph" w:styleId="4">
    <w:name w:val="Body Text Indent"/>
    <w:basedOn w:val="1"/>
    <w:next w:val="5"/>
    <w:qFormat/>
    <w:uiPriority w:val="0"/>
    <w:pPr>
      <w:widowControl w:val="0"/>
      <w:spacing w:line="560" w:lineRule="exact"/>
      <w:ind w:firstLine="585"/>
      <w:jc w:val="both"/>
    </w:pPr>
    <w:rPr>
      <w:rFonts w:ascii="仿宋_GB2312" w:hAnsi="Times New Roman" w:eastAsia="宋体" w:cs="Times New Roman"/>
      <w:kern w:val="2"/>
      <w:sz w:val="32"/>
      <w:szCs w:val="24"/>
      <w:lang w:val="en-US" w:eastAsia="zh-CN" w:bidi="ar-SA"/>
    </w:rPr>
  </w:style>
  <w:style w:type="paragraph" w:styleId="5">
    <w:name w:val="header"/>
    <w:basedOn w:val="1"/>
    <w:next w:val="6"/>
    <w:link w:val="19"/>
    <w:qFormat/>
    <w:uiPriority w:val="99"/>
    <w:pPr>
      <w:pBdr>
        <w:bottom w:val="single" w:color="auto" w:sz="6" w:space="1"/>
      </w:pBdr>
      <w:tabs>
        <w:tab w:val="center" w:pos="4153"/>
        <w:tab w:val="right" w:pos="8306"/>
      </w:tabs>
      <w:adjustRightInd w:val="0"/>
      <w:snapToGrid w:val="0"/>
      <w:jc w:val="center"/>
    </w:pPr>
    <w:rPr>
      <w:rFonts w:ascii="宋体" w:hAnsi="宋体" w:eastAsia="仿宋_GB2312"/>
      <w:sz w:val="18"/>
      <w:szCs w:val="18"/>
    </w:rPr>
  </w:style>
  <w:style w:type="paragraph" w:styleId="6">
    <w:name w:val="footer"/>
    <w:basedOn w:val="1"/>
    <w:link w:val="18"/>
    <w:qFormat/>
    <w:uiPriority w:val="99"/>
    <w:pPr>
      <w:tabs>
        <w:tab w:val="center" w:pos="4153"/>
        <w:tab w:val="right" w:pos="8306"/>
      </w:tabs>
      <w:adjustRightInd w:val="0"/>
      <w:snapToGrid w:val="0"/>
      <w:jc w:val="left"/>
    </w:pPr>
    <w:rPr>
      <w:rFonts w:ascii="宋体" w:hAnsi="宋体" w:eastAsia="仿宋_GB2312"/>
      <w:sz w:val="18"/>
      <w:szCs w:val="18"/>
    </w:rPr>
  </w:style>
  <w:style w:type="paragraph" w:styleId="7">
    <w:name w:val="Date"/>
    <w:basedOn w:val="1"/>
    <w:next w:val="1"/>
    <w:link w:val="17"/>
    <w:qFormat/>
    <w:uiPriority w:val="99"/>
    <w:pPr>
      <w:ind w:left="100" w:leftChars="2500"/>
    </w:pPr>
  </w:style>
  <w:style w:type="paragraph" w:styleId="8">
    <w:name w:val="Balloon Text"/>
    <w:basedOn w:val="1"/>
    <w:qFormat/>
    <w:uiPriority w:val="0"/>
    <w:rPr>
      <w:sz w:val="18"/>
      <w:szCs w:val="18"/>
    </w:rPr>
  </w:style>
  <w:style w:type="paragraph" w:styleId="9">
    <w:name w:val="Body Text First Indent 2"/>
    <w:basedOn w:val="4"/>
    <w:qFormat/>
    <w:uiPriority w:val="0"/>
    <w:pPr>
      <w:widowControl w:val="0"/>
      <w:spacing w:line="560" w:lineRule="exact"/>
      <w:ind w:firstLine="420" w:firstLineChars="200"/>
      <w:jc w:val="both"/>
    </w:pPr>
    <w:rPr>
      <w:rFonts w:ascii="Times New Roman" w:hAnsi="Times New Roman" w:eastAsia="仿宋_GB2312" w:cs="Times New Roman"/>
      <w:kern w:val="2"/>
      <w:sz w:val="32"/>
      <w:szCs w:val="24"/>
      <w:lang w:val="en-US" w:eastAsia="zh-CN" w:bidi="ar-SA"/>
    </w:rPr>
  </w:style>
  <w:style w:type="table" w:styleId="11">
    <w:name w:val="Table Grid"/>
    <w:basedOn w:val="10"/>
    <w:qFormat/>
    <w:locked/>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locked/>
    <w:uiPriority w:val="22"/>
    <w:rPr>
      <w:b/>
    </w:rPr>
  </w:style>
  <w:style w:type="character" w:styleId="14">
    <w:name w:val="page number"/>
    <w:basedOn w:val="12"/>
    <w:qFormat/>
    <w:uiPriority w:val="99"/>
    <w:rPr>
      <w:rFonts w:cs="Times New Roman"/>
    </w:rPr>
  </w:style>
  <w:style w:type="character" w:styleId="15">
    <w:name w:val="Hyperlink"/>
    <w:basedOn w:val="12"/>
    <w:qFormat/>
    <w:uiPriority w:val="0"/>
    <w:rPr>
      <w:color w:val="0000FF"/>
      <w:u w:val="single"/>
    </w:rPr>
  </w:style>
  <w:style w:type="character" w:customStyle="1" w:styleId="16">
    <w:name w:val="正文文本 Char"/>
    <w:basedOn w:val="12"/>
    <w:link w:val="3"/>
    <w:semiHidden/>
    <w:qFormat/>
    <w:locked/>
    <w:uiPriority w:val="99"/>
    <w:rPr>
      <w:rFonts w:ascii="Calibri" w:hAnsi="Calibri" w:cs="Times New Roman"/>
      <w:sz w:val="24"/>
      <w:szCs w:val="24"/>
    </w:rPr>
  </w:style>
  <w:style w:type="character" w:customStyle="1" w:styleId="17">
    <w:name w:val="日期 Char"/>
    <w:basedOn w:val="12"/>
    <w:link w:val="7"/>
    <w:semiHidden/>
    <w:qFormat/>
    <w:locked/>
    <w:uiPriority w:val="99"/>
    <w:rPr>
      <w:rFonts w:ascii="Calibri" w:hAnsi="Calibri" w:cs="Times New Roman"/>
      <w:sz w:val="24"/>
      <w:szCs w:val="24"/>
    </w:rPr>
  </w:style>
  <w:style w:type="character" w:customStyle="1" w:styleId="18">
    <w:name w:val="页脚 Char"/>
    <w:basedOn w:val="12"/>
    <w:link w:val="6"/>
    <w:qFormat/>
    <w:locked/>
    <w:uiPriority w:val="99"/>
    <w:rPr>
      <w:rFonts w:ascii="宋体" w:hAnsi="宋体" w:eastAsia="仿宋_GB2312" w:cs="Times New Roman"/>
      <w:kern w:val="2"/>
      <w:sz w:val="18"/>
      <w:szCs w:val="18"/>
      <w:lang w:val="en-US" w:eastAsia="zh-CN" w:bidi="ar-SA"/>
    </w:rPr>
  </w:style>
  <w:style w:type="character" w:customStyle="1" w:styleId="19">
    <w:name w:val="页眉 Char"/>
    <w:basedOn w:val="12"/>
    <w:link w:val="5"/>
    <w:semiHidden/>
    <w:qFormat/>
    <w:locked/>
    <w:uiPriority w:val="99"/>
    <w:rPr>
      <w:rFonts w:ascii="Calibri" w:hAnsi="Calibri" w:cs="Times New Roman"/>
      <w:sz w:val="18"/>
      <w:szCs w:val="18"/>
    </w:rPr>
  </w:style>
  <w:style w:type="paragraph" w:customStyle="1" w:styleId="20">
    <w:name w:val="Char Char Char Char Char Char Char Char Char Char"/>
    <w:basedOn w:val="1"/>
    <w:qFormat/>
    <w:uiPriority w:val="99"/>
    <w:pPr>
      <w:spacing w:line="560" w:lineRule="exact"/>
    </w:pPr>
    <w:rPr>
      <w:rFonts w:ascii="Tahoma" w:hAnsi="Tahoma" w:eastAsia="仿宋_GB2312" w:cs="宋体"/>
      <w:sz w:val="24"/>
      <w:szCs w:val="31"/>
    </w:rPr>
  </w:style>
  <w:style w:type="character" w:customStyle="1" w:styleId="21">
    <w:name w:val="NormalCharacter"/>
    <w:semiHidden/>
    <w:qFormat/>
    <w:uiPriority w:val="0"/>
    <w:rPr>
      <w:rFonts w:ascii="Times New Roman" w:hAnsi="Times New Roman" w:eastAsia="宋体"/>
      <w:kern w:val="2"/>
      <w:sz w:val="21"/>
      <w:lang w:val="en-US" w:eastAsia="zh-CN"/>
    </w:rPr>
  </w:style>
  <w:style w:type="table" w:customStyle="1" w:styleId="22">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13</Pages>
  <Words>3493</Words>
  <Characters>3568</Characters>
  <Lines>46</Lines>
  <Paragraphs>13</Paragraphs>
  <TotalTime>17</TotalTime>
  <ScaleCrop>false</ScaleCrop>
  <LinksUpToDate>false</LinksUpToDate>
  <CharactersWithSpaces>4383</CharactersWithSpaces>
  <Application>WPS Office_11.8.2.12185_F1E327BC-269C-435d-A152-05C5408002CA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2022-05-30T11:55:00Z</dcterms:created>
  <dc:creator>曾曾就是真</dc:creator>
  <cp:lastModifiedBy>福州金苗陈礼鹏</cp:lastModifiedBy>
  <cp:lastPrinted>2025-05-30T23:11:00Z</cp:lastPrinted>
  <dcterms:modified xsi:type="dcterms:W3CDTF">2026-06-26T11:15:15Z</dcterms:modified>
  <dc:title>（初稿）</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2052-11.8.2.12185</vt:lpwstr>
  </property>
  <property fmtid="{D5CDD505-2E9C-101B-9397-08002B2CF9AE}" pid="3" name="ICV">
    <vt:lpwstr>5FA8D9D35E04FE8BFBD40E68147F11F6</vt:lpwstr>
  </property>
</Properties>
</file>