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04" w:rsidRDefault="00D73404">
      <w:pPr>
        <w:spacing w:line="590" w:lineRule="exact"/>
        <w:jc w:val="left"/>
        <w:rPr>
          <w:rFonts w:ascii="黑体" w:eastAsia="黑体" w:hAnsi="黑体"/>
          <w:sz w:val="32"/>
          <w:szCs w:val="32"/>
        </w:rPr>
      </w:pPr>
    </w:p>
    <w:p w:rsidR="008A4F86" w:rsidRDefault="00224E10">
      <w:pPr>
        <w:spacing w:line="590" w:lineRule="exact"/>
        <w:jc w:val="left"/>
        <w:rPr>
          <w:rFonts w:ascii="黑体" w:eastAsia="黑体" w:hAnsi="黑体"/>
          <w:sz w:val="32"/>
          <w:szCs w:val="32"/>
        </w:rPr>
      </w:pPr>
      <w:r>
        <w:rPr>
          <w:rFonts w:ascii="黑体" w:eastAsia="黑体" w:hAnsi="黑体" w:hint="eastAsia"/>
          <w:sz w:val="32"/>
          <w:szCs w:val="32"/>
        </w:rPr>
        <w:t>附件1</w:t>
      </w:r>
    </w:p>
    <w:p w:rsidR="008A4F86" w:rsidRDefault="008A4F86">
      <w:pPr>
        <w:spacing w:line="590" w:lineRule="exact"/>
        <w:jc w:val="left"/>
        <w:rPr>
          <w:rFonts w:ascii="仿宋_GB2312" w:eastAsia="仿宋_GB2312"/>
          <w:sz w:val="32"/>
          <w:szCs w:val="32"/>
        </w:rPr>
      </w:pPr>
    </w:p>
    <w:p w:rsidR="008A4F86" w:rsidRDefault="00224E10">
      <w:pPr>
        <w:spacing w:line="59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2025年度中央财政林业草原生态</w:t>
      </w:r>
    </w:p>
    <w:p w:rsidR="008A4F86" w:rsidRDefault="00224E10">
      <w:pPr>
        <w:spacing w:line="59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恢复保护资金绩效自评报告</w:t>
      </w:r>
    </w:p>
    <w:p w:rsidR="008A4F86" w:rsidRDefault="008A4F86">
      <w:pPr>
        <w:spacing w:line="600" w:lineRule="exact"/>
        <w:rPr>
          <w:rFonts w:ascii="黑体" w:eastAsia="黑体" w:hAnsi="黑体"/>
          <w:kern w:val="44"/>
          <w:sz w:val="32"/>
          <w:szCs w:val="32"/>
        </w:rPr>
      </w:pPr>
    </w:p>
    <w:p w:rsidR="008A4F86" w:rsidRDefault="00224E10">
      <w:pPr>
        <w:spacing w:line="560" w:lineRule="exact"/>
        <w:ind w:firstLineChars="200" w:firstLine="640"/>
        <w:rPr>
          <w:rFonts w:ascii="黑体" w:eastAsia="黑体" w:hAnsi="黑体"/>
          <w:kern w:val="44"/>
          <w:sz w:val="32"/>
          <w:szCs w:val="32"/>
        </w:rPr>
      </w:pPr>
      <w:r>
        <w:rPr>
          <w:rFonts w:ascii="黑体" w:eastAsia="黑体" w:hAnsi="黑体" w:hint="eastAsia"/>
          <w:kern w:val="44"/>
          <w:sz w:val="32"/>
          <w:szCs w:val="32"/>
        </w:rPr>
        <w:t>一、基本情况</w:t>
      </w:r>
    </w:p>
    <w:p w:rsidR="008A4F86" w:rsidRDefault="00224E10">
      <w:pPr>
        <w:spacing w:line="560" w:lineRule="exact"/>
        <w:ind w:firstLineChars="200" w:firstLine="643"/>
        <w:rPr>
          <w:rFonts w:ascii="楷体_GB2312" w:eastAsia="楷体_GB2312" w:hAnsi="仿宋"/>
          <w:b/>
          <w:bCs/>
          <w:sz w:val="32"/>
          <w:szCs w:val="32"/>
        </w:rPr>
      </w:pPr>
      <w:r>
        <w:rPr>
          <w:rFonts w:ascii="楷体_GB2312" w:eastAsia="楷体_GB2312" w:hAnsi="仿宋" w:hint="eastAsia"/>
          <w:b/>
          <w:bCs/>
          <w:sz w:val="32"/>
          <w:szCs w:val="32"/>
        </w:rPr>
        <w:t>（一）项目概况</w:t>
      </w:r>
    </w:p>
    <w:p w:rsidR="008A4F86" w:rsidRDefault="00224E10">
      <w:pPr>
        <w:spacing w:line="560" w:lineRule="exact"/>
        <w:ind w:firstLineChars="200" w:firstLine="643"/>
        <w:rPr>
          <w:rFonts w:ascii="楷体_GB2312" w:eastAsia="楷体_GB2312" w:hAnsi="仿宋"/>
          <w:b/>
          <w:bCs/>
          <w:sz w:val="32"/>
          <w:szCs w:val="32"/>
        </w:rPr>
      </w:pPr>
      <w:r>
        <w:rPr>
          <w:rFonts w:ascii="楷体_GB2312" w:eastAsia="楷体_GB2312" w:hAnsi="仿宋" w:hint="eastAsia"/>
          <w:b/>
          <w:bCs/>
          <w:sz w:val="32"/>
          <w:szCs w:val="32"/>
        </w:rPr>
        <w:t>1</w:t>
      </w:r>
      <w:r>
        <w:rPr>
          <w:rFonts w:ascii="楷体_GB2312" w:eastAsia="楷体_GB2312" w:hAnsi="仿宋"/>
          <w:b/>
          <w:bCs/>
          <w:sz w:val="32"/>
          <w:szCs w:val="32"/>
        </w:rPr>
        <w:t>.</w:t>
      </w:r>
      <w:r>
        <w:rPr>
          <w:rFonts w:ascii="仿宋_GB2312" w:eastAsia="仿宋_GB2312" w:hAnsi="仿宋" w:hint="eastAsia"/>
          <w:b/>
          <w:sz w:val="32"/>
          <w:szCs w:val="32"/>
        </w:rPr>
        <w:t>项目内容：</w:t>
      </w:r>
      <w:r w:rsidR="00603C0E">
        <w:rPr>
          <w:rFonts w:ascii="仿宋_GB2312" w:eastAsia="仿宋_GB2312" w:hAnsi="仿宋" w:hint="eastAsia"/>
          <w:sz w:val="32"/>
          <w:szCs w:val="32"/>
        </w:rPr>
        <w:t>我区</w:t>
      </w:r>
      <w:r>
        <w:rPr>
          <w:rFonts w:ascii="仿宋_GB2312" w:eastAsia="仿宋_GB2312" w:hAnsi="仿宋" w:hint="eastAsia"/>
          <w:sz w:val="32"/>
          <w:szCs w:val="32"/>
        </w:rPr>
        <w:t>2025年度中央财政林业生态补偿专项1374.43万元。主要包含以下四个项目：森林生态效益补偿和天然商品林停伐管护补助、森林可持续经营试点以及林草湿荒综合监测这四个项目。</w:t>
      </w:r>
    </w:p>
    <w:p w:rsidR="008A4F86" w:rsidRDefault="00224E10">
      <w:pPr>
        <w:spacing w:line="560" w:lineRule="exact"/>
        <w:ind w:firstLineChars="200" w:firstLine="640"/>
        <w:rPr>
          <w:rFonts w:ascii="楷体_GB2312" w:eastAsia="楷体_GB2312" w:hAnsi="仿宋"/>
          <w:b/>
          <w:bCs/>
          <w:sz w:val="32"/>
          <w:szCs w:val="32"/>
        </w:rPr>
      </w:pPr>
      <w:r>
        <w:rPr>
          <w:rFonts w:ascii="仿宋_GB2312" w:eastAsia="仿宋_GB2312" w:hAnsi="仿宋" w:hint="eastAsia"/>
          <w:sz w:val="32"/>
          <w:szCs w:val="32"/>
        </w:rPr>
        <w:t>主要内容为：</w:t>
      </w:r>
      <w:r>
        <w:rPr>
          <w:rFonts w:ascii="仿宋_GB2312" w:eastAsia="仿宋_GB2312" w:hAnsi="楷体" w:cs="楷体" w:hint="eastAsia"/>
          <w:sz w:val="32"/>
          <w:szCs w:val="32"/>
        </w:rPr>
        <w:t>中央下达森林生态效益补偿补助资金307.89万元，天然商品林停伐管护补助资金444.67万元，森林可持续经营试点资金175.67万元、</w:t>
      </w:r>
      <w:r>
        <w:rPr>
          <w:rFonts w:ascii="仿宋" w:eastAsia="仿宋" w:hAnsi="仿宋" w:hint="eastAsia"/>
          <w:sz w:val="32"/>
          <w:szCs w:val="32"/>
        </w:rPr>
        <w:t>林草湿荒综合监测资金14万元。</w:t>
      </w:r>
      <w:r w:rsidR="00AC271A">
        <w:rPr>
          <w:rFonts w:ascii="仿宋_GB2312" w:eastAsia="仿宋_GB2312" w:hAnsi="仿宋" w:hint="eastAsia"/>
          <w:sz w:val="32"/>
          <w:szCs w:val="32"/>
        </w:rPr>
        <w:t>森林生态系统生态效益发挥（明显），</w:t>
      </w:r>
      <w:bookmarkStart w:id="0" w:name="_GoBack"/>
      <w:bookmarkEnd w:id="0"/>
      <w:r>
        <w:rPr>
          <w:rFonts w:ascii="仿宋_GB2312" w:eastAsia="仿宋_GB2312" w:hAnsi="仿宋" w:hint="eastAsia"/>
          <w:sz w:val="32"/>
          <w:szCs w:val="32"/>
        </w:rPr>
        <w:t>森林生态系统功能改善可持续影响（明显），项目涉及职工和周边群众满意度≥86（%）。</w:t>
      </w:r>
    </w:p>
    <w:p w:rsidR="008A4F86" w:rsidRDefault="00224E10">
      <w:pPr>
        <w:spacing w:line="560" w:lineRule="exact"/>
        <w:ind w:firstLineChars="200" w:firstLine="643"/>
        <w:rPr>
          <w:rFonts w:ascii="楷体_GB2312" w:eastAsia="楷体_GB2312" w:hAnsi="仿宋"/>
          <w:b/>
          <w:bCs/>
          <w:sz w:val="32"/>
          <w:szCs w:val="32"/>
        </w:rPr>
      </w:pPr>
      <w:r>
        <w:rPr>
          <w:rFonts w:ascii="楷体_GB2312" w:eastAsia="楷体_GB2312" w:hAnsi="仿宋" w:hint="eastAsia"/>
          <w:b/>
          <w:bCs/>
          <w:sz w:val="32"/>
          <w:szCs w:val="32"/>
        </w:rPr>
        <w:t>2.</w:t>
      </w:r>
      <w:r>
        <w:rPr>
          <w:rFonts w:ascii="仿宋_GB2312" w:eastAsia="仿宋_GB2312" w:hAnsi="仿宋" w:hint="eastAsia"/>
          <w:b/>
          <w:sz w:val="32"/>
          <w:szCs w:val="32"/>
        </w:rPr>
        <w:t>项目实施情况：</w:t>
      </w:r>
      <w:r>
        <w:rPr>
          <w:rFonts w:ascii="仿宋_GB2312" w:eastAsia="仿宋_GB2312" w:hAnsi="仿宋" w:hint="eastAsia"/>
          <w:sz w:val="32"/>
          <w:szCs w:val="32"/>
        </w:rPr>
        <w:t>国家级公益林21.1474（万亩），天然商品林停伐管护补助面积46.0719（万亩）；森林可持续经营试点面积3474亩；林草湿荒综合监测图斑184个。</w:t>
      </w:r>
    </w:p>
    <w:p w:rsidR="008A4F86" w:rsidRDefault="00224E10">
      <w:pPr>
        <w:spacing w:line="560" w:lineRule="exact"/>
        <w:ind w:firstLineChars="200" w:firstLine="643"/>
        <w:rPr>
          <w:rFonts w:ascii="仿宋_GB2312" w:eastAsia="仿宋" w:hAnsi="仿宋"/>
          <w:sz w:val="32"/>
          <w:szCs w:val="32"/>
        </w:rPr>
      </w:pPr>
      <w:r>
        <w:rPr>
          <w:rFonts w:ascii="仿宋_GB2312" w:eastAsia="仿宋_GB2312" w:hAnsi="仿宋" w:hint="eastAsia"/>
          <w:b/>
          <w:sz w:val="32"/>
          <w:szCs w:val="32"/>
        </w:rPr>
        <w:t>3.资金投入和使用情况：</w:t>
      </w:r>
      <w:r>
        <w:rPr>
          <w:rFonts w:ascii="仿宋_GB2312" w:eastAsia="仿宋_GB2312" w:hAnsi="仿宋" w:hint="eastAsia"/>
          <w:sz w:val="32"/>
          <w:szCs w:val="32"/>
        </w:rPr>
        <w:t>我区2025年度中央财政林业生态补偿专项资金1374.43万元，其中森林生态效益补偿项目307.89万元，</w:t>
      </w:r>
      <w:r>
        <w:rPr>
          <w:rFonts w:ascii="仿宋_GB2312" w:eastAsia="仿宋_GB2312" w:hAnsi="宋体" w:cs="宋体" w:hint="eastAsia"/>
          <w:sz w:val="32"/>
          <w:szCs w:val="32"/>
          <w:lang w:bidi="zh-TW"/>
        </w:rPr>
        <w:t>截至2025年12月31日，</w:t>
      </w:r>
      <w:r>
        <w:rPr>
          <w:rFonts w:ascii="仿宋_GB2312" w:eastAsia="仿宋_GB2312" w:hAnsi="仿宋" w:hint="eastAsia"/>
          <w:sz w:val="32"/>
          <w:szCs w:val="32"/>
        </w:rPr>
        <w:t>实际支出307.89万</w:t>
      </w:r>
      <w:r>
        <w:rPr>
          <w:rFonts w:ascii="仿宋_GB2312" w:eastAsia="仿宋_GB2312" w:hAnsi="仿宋" w:hint="eastAsia"/>
          <w:sz w:val="32"/>
          <w:szCs w:val="32"/>
        </w:rPr>
        <w:lastRenderedPageBreak/>
        <w:t>元，支付率100%。天然商品林停伐管护补助444.64万元，</w:t>
      </w:r>
      <w:r>
        <w:rPr>
          <w:rFonts w:ascii="仿宋_GB2312" w:eastAsia="仿宋_GB2312" w:hAnsi="宋体" w:cs="宋体" w:hint="eastAsia"/>
          <w:sz w:val="32"/>
          <w:szCs w:val="32"/>
          <w:lang w:bidi="zh-TW"/>
        </w:rPr>
        <w:t>截至2025年12月31日</w:t>
      </w:r>
      <w:r>
        <w:rPr>
          <w:rFonts w:ascii="仿宋_GB2312" w:eastAsia="仿宋_GB2312" w:hAnsi="仿宋" w:hint="eastAsia"/>
          <w:sz w:val="32"/>
          <w:szCs w:val="32"/>
        </w:rPr>
        <w:t>支出 444.64 万元，支出率100%；已超额完成森林可持续经营试点面积3551.9亩，完成率102%，</w:t>
      </w:r>
      <w:r>
        <w:rPr>
          <w:rFonts w:ascii="仿宋_GB2312" w:eastAsia="仿宋_GB2312" w:hAnsi="宋体" w:cs="宋体" w:hint="eastAsia"/>
          <w:sz w:val="32"/>
          <w:szCs w:val="32"/>
          <w:lang w:bidi="zh-TW"/>
        </w:rPr>
        <w:t>截至2026年2月11日</w:t>
      </w:r>
      <w:r>
        <w:rPr>
          <w:rFonts w:ascii="仿宋_GB2312" w:eastAsia="仿宋_GB2312" w:hAnsi="仿宋" w:hint="eastAsia"/>
          <w:sz w:val="32"/>
          <w:szCs w:val="32"/>
        </w:rPr>
        <w:t>支出补助资金175.67万元，支出率100%；已完成三元区2025年</w:t>
      </w:r>
      <w:r>
        <w:rPr>
          <w:rFonts w:ascii="仿宋" w:eastAsia="仿宋" w:hAnsi="仿宋" w:hint="eastAsia"/>
          <w:sz w:val="32"/>
          <w:szCs w:val="32"/>
        </w:rPr>
        <w:t>林草湿荒综合监测任务，于2026年1月22日通过国家级检查验收，资金暂未支出。</w:t>
      </w:r>
    </w:p>
    <w:p w:rsidR="008A4F86" w:rsidRDefault="00224E10">
      <w:pPr>
        <w:spacing w:line="560" w:lineRule="exact"/>
        <w:ind w:firstLineChars="200" w:firstLine="643"/>
        <w:rPr>
          <w:rFonts w:ascii="楷体_GB2312" w:eastAsia="楷体_GB2312" w:hAnsi="仿宋"/>
          <w:b/>
          <w:bCs/>
          <w:sz w:val="32"/>
          <w:szCs w:val="32"/>
        </w:rPr>
      </w:pPr>
      <w:r>
        <w:rPr>
          <w:rFonts w:ascii="楷体_GB2312" w:eastAsia="楷体_GB2312" w:hAnsi="仿宋" w:hint="eastAsia"/>
          <w:b/>
          <w:bCs/>
          <w:sz w:val="32"/>
          <w:szCs w:val="32"/>
        </w:rPr>
        <w:t>（二）项目绩效目标</w:t>
      </w:r>
    </w:p>
    <w:p w:rsidR="008A4F86" w:rsidRDefault="00224E10">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1.成本指标1个：</w:t>
      </w:r>
      <w:r>
        <w:rPr>
          <w:rFonts w:ascii="仿宋_GB2312" w:eastAsia="仿宋_GB2312" w:hAnsi="仿宋" w:hint="eastAsia"/>
          <w:sz w:val="32"/>
          <w:szCs w:val="32"/>
        </w:rPr>
        <w:t>非国有林生态保护补偿标准16（元/亩）。</w:t>
      </w:r>
    </w:p>
    <w:p w:rsidR="008A4F86" w:rsidRDefault="00224E10">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2.数量指标3个：</w:t>
      </w:r>
      <w:r>
        <w:rPr>
          <w:rFonts w:ascii="仿宋_GB2312" w:eastAsia="仿宋_GB2312" w:hAnsi="仿宋" w:hint="eastAsia"/>
          <w:sz w:val="32"/>
          <w:szCs w:val="32"/>
        </w:rPr>
        <w:t>国家级公益林21.1474（万亩），天然商品林停伐管护补助面积46.0719（万亩）；森林可持续经营试点≥0.35万亩。</w:t>
      </w:r>
    </w:p>
    <w:p w:rsidR="008A4F86" w:rsidRDefault="00224E10">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3.质量指标3个：</w:t>
      </w:r>
      <w:r>
        <w:rPr>
          <w:rFonts w:ascii="仿宋_GB2312" w:eastAsia="仿宋_GB2312" w:hAnsi="仿宋" w:hint="eastAsia"/>
          <w:sz w:val="32"/>
          <w:szCs w:val="32"/>
        </w:rPr>
        <w:t>天然林蓄积量持续增长、森林资源管护责任落实率100%、森林保护修复补助兑现率100%。</w:t>
      </w:r>
    </w:p>
    <w:p w:rsidR="008A4F86" w:rsidRDefault="00224E10">
      <w:pPr>
        <w:spacing w:line="560" w:lineRule="exact"/>
        <w:ind w:firstLineChars="200" w:firstLine="643"/>
        <w:rPr>
          <w:rFonts w:ascii="仿宋_GB2312" w:eastAsia="仿宋_GB2312" w:hAnsi="仿宋" w:cs="仿宋"/>
          <w:spacing w:val="12"/>
          <w:sz w:val="33"/>
          <w:szCs w:val="33"/>
        </w:rPr>
      </w:pPr>
      <w:r w:rsidRPr="0092678E">
        <w:rPr>
          <w:rFonts w:ascii="仿宋_GB2312" w:eastAsia="仿宋_GB2312" w:hAnsi="仿宋" w:hint="eastAsia"/>
          <w:b/>
          <w:sz w:val="32"/>
          <w:szCs w:val="32"/>
        </w:rPr>
        <w:t>4.时效指标2个：</w:t>
      </w:r>
      <w:r w:rsidRPr="0092678E">
        <w:rPr>
          <w:rFonts w:ascii="仿宋_GB2312" w:eastAsia="仿宋_GB2312" w:hAnsi="仿宋" w:cs="仿宋" w:hint="eastAsia"/>
          <w:spacing w:val="-14"/>
          <w:sz w:val="33"/>
          <w:szCs w:val="33"/>
        </w:rPr>
        <w:t>国家级自然保护区能力提升当期任务完成</w:t>
      </w:r>
      <w:r w:rsidRPr="0092678E">
        <w:rPr>
          <w:rFonts w:ascii="仿宋_GB2312" w:eastAsia="仿宋_GB2312" w:hAnsi="仿宋" w:cs="仿宋" w:hint="eastAsia"/>
          <w:spacing w:val="12"/>
          <w:sz w:val="33"/>
          <w:szCs w:val="33"/>
        </w:rPr>
        <w:t>率≥90（%）、非国有</w:t>
      </w:r>
      <w:r>
        <w:rPr>
          <w:rFonts w:ascii="仿宋_GB2312" w:eastAsia="仿宋_GB2312" w:hAnsi="仿宋" w:cs="仿宋" w:hint="eastAsia"/>
          <w:spacing w:val="12"/>
          <w:sz w:val="33"/>
          <w:szCs w:val="33"/>
        </w:rPr>
        <w:t>林生态保护补偿当</w:t>
      </w:r>
      <w:r>
        <w:rPr>
          <w:rFonts w:ascii="仿宋_GB2312" w:eastAsia="仿宋_GB2312" w:hAnsi="仿宋" w:cs="仿宋" w:hint="eastAsia"/>
          <w:spacing w:val="11"/>
          <w:sz w:val="33"/>
          <w:szCs w:val="33"/>
        </w:rPr>
        <w:t>期任务完成率100</w:t>
      </w:r>
      <w:r>
        <w:rPr>
          <w:rFonts w:ascii="仿宋_GB2312" w:eastAsia="仿宋_GB2312" w:hAnsi="仿宋" w:cs="仿宋" w:hint="eastAsia"/>
          <w:spacing w:val="12"/>
          <w:sz w:val="33"/>
          <w:szCs w:val="33"/>
        </w:rPr>
        <w:t>（%）。</w:t>
      </w:r>
    </w:p>
    <w:p w:rsidR="008A4F86" w:rsidRDefault="00224E10">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5.效益指标3个：</w:t>
      </w:r>
    </w:p>
    <w:p w:rsidR="008A4F86" w:rsidRDefault="00224E10">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（1）其中生态效益指标：生态系统和生 物多样性得到有效保护；</w:t>
      </w:r>
    </w:p>
    <w:p w:rsidR="008A4F86" w:rsidRDefault="00224E1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（2）社会效益指标：国家级自然 保护区保护和管理能力明显提升；</w:t>
      </w:r>
    </w:p>
    <w:p w:rsidR="008A4F86" w:rsidRDefault="00224E1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（3）可持续影响指标： 国有林区(林场)社会稳定、持续发挥生态作用逐步提升。</w:t>
      </w:r>
    </w:p>
    <w:p w:rsidR="008A4F86" w:rsidRDefault="00224E10">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6.满意度指标1个：</w:t>
      </w:r>
      <w:r>
        <w:rPr>
          <w:rFonts w:ascii="仿宋_GB2312" w:eastAsia="仿宋_GB2312" w:hAnsi="仿宋" w:hint="eastAsia"/>
          <w:sz w:val="32"/>
          <w:szCs w:val="32"/>
        </w:rPr>
        <w:t>林区职工和周边群众满意度≥85%。</w:t>
      </w:r>
    </w:p>
    <w:p w:rsidR="008A4F86" w:rsidRDefault="00224E10">
      <w:pPr>
        <w:widowControl/>
        <w:kinsoku w:val="0"/>
        <w:autoSpaceDE w:val="0"/>
        <w:autoSpaceDN w:val="0"/>
        <w:adjustRightInd w:val="0"/>
        <w:snapToGrid w:val="0"/>
        <w:spacing w:line="560" w:lineRule="exact"/>
        <w:ind w:firstLineChars="200" w:firstLine="640"/>
        <w:jc w:val="left"/>
        <w:textAlignment w:val="baseline"/>
        <w:rPr>
          <w:rFonts w:ascii="黑体" w:eastAsia="黑体" w:hAnsi="黑体"/>
          <w:kern w:val="44"/>
          <w:sz w:val="32"/>
          <w:szCs w:val="32"/>
        </w:rPr>
      </w:pPr>
      <w:r>
        <w:rPr>
          <w:rFonts w:ascii="黑体" w:eastAsia="黑体" w:hAnsi="黑体" w:hint="eastAsia"/>
          <w:kern w:val="44"/>
          <w:sz w:val="32"/>
          <w:szCs w:val="32"/>
        </w:rPr>
        <w:lastRenderedPageBreak/>
        <w:t>二、绩效监控工作开展情况</w:t>
      </w:r>
    </w:p>
    <w:p w:rsidR="008A4F86" w:rsidRDefault="00224E1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（一）绩效评价对象和范围</w:t>
      </w:r>
    </w:p>
    <w:p w:rsidR="008A4F86" w:rsidRDefault="00224E1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本次绩效评价的对象为2025年度森林生态效益补偿、天然商品林停伐管护补助、森林可持续经营试点以及林草湿荒综合监测。</w:t>
      </w:r>
    </w:p>
    <w:p w:rsidR="008A4F86" w:rsidRDefault="00224E10">
      <w:pPr>
        <w:spacing w:line="560" w:lineRule="exact"/>
        <w:ind w:firstLineChars="200" w:firstLine="643"/>
        <w:rPr>
          <w:rFonts w:ascii="楷体_GB2312" w:eastAsia="楷体_GB2312" w:hAnsi="楷体_GB2312"/>
          <w:b/>
          <w:bCs/>
          <w:sz w:val="32"/>
          <w:szCs w:val="32"/>
        </w:rPr>
      </w:pPr>
      <w:r>
        <w:rPr>
          <w:rFonts w:ascii="楷体_GB2312" w:eastAsia="楷体_GB2312" w:hAnsi="楷体_GB2312" w:cs="楷体_GB2312" w:hint="eastAsia"/>
          <w:b/>
          <w:bCs/>
          <w:sz w:val="32"/>
          <w:szCs w:val="32"/>
        </w:rPr>
        <w:t>（二）绩效评价工作过程</w:t>
      </w:r>
    </w:p>
    <w:p w:rsidR="008A4F86" w:rsidRDefault="00224E10">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1.前期准备。</w:t>
      </w:r>
      <w:r>
        <w:rPr>
          <w:rFonts w:ascii="仿宋_GB2312" w:eastAsia="仿宋_GB2312" w:hAnsi="仿宋" w:hint="eastAsia"/>
          <w:sz w:val="32"/>
          <w:szCs w:val="32"/>
        </w:rPr>
        <w:t>确定2025年中央财政下达我区林业生态补偿专项资金评价的具体项目和资金，部署绩效评价工作，明确评价目的、方法、指标体系、评价标准及各项目单位需要提供的佐证材料、财务资金等文件。</w:t>
      </w:r>
    </w:p>
    <w:p w:rsidR="008A4F86" w:rsidRDefault="00224E10">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2.组织实施。</w:t>
      </w:r>
      <w:r>
        <w:rPr>
          <w:rFonts w:ascii="仿宋_GB2312" w:eastAsia="仿宋_GB2312" w:hAnsi="仿宋" w:hint="eastAsia"/>
          <w:sz w:val="32"/>
          <w:szCs w:val="32"/>
        </w:rPr>
        <w:t>本着项目谁负责谁自评的原则，开展绩效评价工作，以资金拨付文件、财务会计资料、项目实施情况文件、档案资料等为依据，收集资料、进行实地核查，对重要的基础数据资料进行分析，填写基础数据。</w:t>
      </w:r>
    </w:p>
    <w:p w:rsidR="008A4F86" w:rsidRDefault="00224E10">
      <w:pPr>
        <w:spacing w:line="560" w:lineRule="exact"/>
        <w:ind w:firstLineChars="200" w:firstLine="643"/>
        <w:rPr>
          <w:rFonts w:ascii="仿宋" w:eastAsia="仿宋" w:hAnsi="仿宋"/>
          <w:sz w:val="30"/>
          <w:szCs w:val="30"/>
        </w:rPr>
      </w:pPr>
      <w:r>
        <w:rPr>
          <w:rFonts w:ascii="仿宋_GB2312" w:eastAsia="仿宋_GB2312" w:hAnsi="仿宋" w:hint="eastAsia"/>
          <w:b/>
          <w:sz w:val="32"/>
          <w:szCs w:val="32"/>
        </w:rPr>
        <w:t>3.分析评价。</w:t>
      </w:r>
      <w:r>
        <w:rPr>
          <w:rFonts w:ascii="仿宋_GB2312" w:eastAsia="仿宋_GB2312" w:hAnsi="仿宋" w:hint="eastAsia"/>
          <w:sz w:val="32"/>
          <w:szCs w:val="32"/>
        </w:rPr>
        <w:t xml:space="preserve">采用因素分析法和公众评判法进行绩效自评，从项目资金管理和使用、产出指标、效益指标和实施效果等方面进行定性和定量分析，形成自评报告，并对评价结果进行反馈。  </w:t>
      </w:r>
    </w:p>
    <w:p w:rsidR="008A4F86" w:rsidRDefault="00224E10">
      <w:pPr>
        <w:pStyle w:val="a3"/>
        <w:spacing w:line="560" w:lineRule="exact"/>
        <w:ind w:firstLineChars="200" w:firstLine="640"/>
        <w:rPr>
          <w:rFonts w:ascii="仿宋_GB2312" w:eastAsia="黑体" w:hAnsi="仿宋_GB2312" w:cs="仿宋_GB2312"/>
          <w:sz w:val="32"/>
          <w:szCs w:val="32"/>
          <w:lang w:eastAsia="zh-CN"/>
        </w:rPr>
      </w:pPr>
      <w:r>
        <w:rPr>
          <w:rFonts w:ascii="黑体" w:eastAsia="黑体" w:hAnsi="黑体" w:cs="黑体" w:hint="eastAsia"/>
          <w:sz w:val="32"/>
          <w:szCs w:val="32"/>
          <w:lang w:eastAsia="zh-CN"/>
        </w:rPr>
        <w:t>三、绩效监控指标完成情况分析</w:t>
      </w:r>
    </w:p>
    <w:p w:rsidR="008A4F86" w:rsidRDefault="00224E10">
      <w:pPr>
        <w:spacing w:line="560" w:lineRule="exact"/>
        <w:ind w:firstLineChars="200" w:firstLine="643"/>
        <w:rPr>
          <w:rFonts w:ascii="楷体_GB2312" w:eastAsia="楷体_GB2312" w:hAnsi="仿宋"/>
          <w:b/>
          <w:bCs/>
          <w:sz w:val="32"/>
          <w:szCs w:val="32"/>
        </w:rPr>
      </w:pPr>
      <w:r>
        <w:rPr>
          <w:rFonts w:ascii="楷体_GB2312" w:eastAsia="楷体_GB2312" w:hAnsi="仿宋" w:hint="eastAsia"/>
          <w:b/>
          <w:bCs/>
          <w:sz w:val="32"/>
          <w:szCs w:val="32"/>
        </w:rPr>
        <w:t>（一）项目决策情况</w:t>
      </w:r>
    </w:p>
    <w:p w:rsidR="008A4F86" w:rsidRDefault="00224E10">
      <w:pPr>
        <w:pStyle w:val="a3"/>
        <w:spacing w:line="560" w:lineRule="exact"/>
        <w:ind w:firstLineChars="200" w:firstLine="640"/>
        <w:rPr>
          <w:rFonts w:ascii="仿宋_GB2312" w:eastAsia="仿宋_GB2312" w:hAnsi="仿宋" w:cs="Times New Roman"/>
          <w:sz w:val="32"/>
          <w:szCs w:val="32"/>
          <w:lang w:eastAsia="zh-CN"/>
        </w:rPr>
      </w:pPr>
      <w:r>
        <w:rPr>
          <w:rFonts w:ascii="仿宋_GB2312" w:eastAsia="仿宋_GB2312" w:hAnsi="仿宋" w:cs="Times New Roman" w:hint="eastAsia"/>
          <w:sz w:val="32"/>
          <w:szCs w:val="32"/>
          <w:lang w:eastAsia="zh-CN"/>
        </w:rPr>
        <w:t>根据《福建省省级以上财政林业相关专项资金管理办法》等相关规定，按照因素法及中央、省上制定的补助标准，及年度生态补偿面积申报资金任务。同时对2025年中央下达的林业生态补偿专项资金提出分配方案，经层层审批，以元林</w:t>
      </w:r>
      <w:r>
        <w:rPr>
          <w:rFonts w:ascii="仿宋_GB2312" w:eastAsia="仿宋_GB2312" w:hAnsi="仿宋" w:cs="Times New Roman"/>
          <w:sz w:val="32"/>
          <w:szCs w:val="32"/>
          <w:lang w:eastAsia="zh-CN"/>
        </w:rPr>
        <w:t>〔2025〕</w:t>
      </w:r>
      <w:r>
        <w:rPr>
          <w:rFonts w:ascii="仿宋_GB2312" w:eastAsia="仿宋_GB2312" w:hAnsi="仿宋" w:cs="Times New Roman" w:hint="eastAsia"/>
          <w:sz w:val="32"/>
          <w:szCs w:val="32"/>
          <w:lang w:eastAsia="zh-CN"/>
        </w:rPr>
        <w:t>30号文分解下达森林生态效益补偿补助资金以及天</w:t>
      </w:r>
      <w:r>
        <w:rPr>
          <w:rFonts w:ascii="仿宋_GB2312" w:eastAsia="仿宋_GB2312" w:hAnsi="仿宋" w:cs="Times New Roman" w:hint="eastAsia"/>
          <w:sz w:val="32"/>
          <w:szCs w:val="32"/>
          <w:lang w:eastAsia="zh-CN"/>
        </w:rPr>
        <w:lastRenderedPageBreak/>
        <w:t>然商品林停伐管</w:t>
      </w:r>
      <w:r>
        <w:rPr>
          <w:rFonts w:ascii="仿宋_GB2312" w:eastAsia="仿宋_GB2312" w:hAnsi="仿宋" w:cs="Times New Roman" w:hint="eastAsia"/>
          <w:color w:val="auto"/>
          <w:sz w:val="32"/>
          <w:szCs w:val="32"/>
          <w:lang w:eastAsia="zh-CN"/>
        </w:rPr>
        <w:t>护补助资金至各单位，并分解下达相应的绩效目标任务。细化下达各单位的</w:t>
      </w:r>
      <w:r>
        <w:rPr>
          <w:rFonts w:ascii="仿宋_GB2312" w:eastAsia="仿宋_GB2312" w:hAnsi="仿宋" w:cs="Times New Roman" w:hint="eastAsia"/>
          <w:sz w:val="32"/>
          <w:szCs w:val="32"/>
          <w:lang w:eastAsia="zh-CN"/>
        </w:rPr>
        <w:t>林业资金绩效目标与预算确定的资金量相匹配，下达的绩效目标与上级下达的一致。绩效目标设置具有完整性、相关性、可测量性、合理性。</w:t>
      </w:r>
    </w:p>
    <w:p w:rsidR="008A4F86" w:rsidRDefault="00224E10">
      <w:pPr>
        <w:spacing w:line="560" w:lineRule="exact"/>
        <w:ind w:firstLineChars="200" w:firstLine="643"/>
        <w:rPr>
          <w:rFonts w:ascii="楷体_GB2312" w:eastAsia="楷体_GB2312" w:hAnsi="仿宋"/>
          <w:b/>
          <w:bCs/>
          <w:sz w:val="32"/>
          <w:szCs w:val="32"/>
        </w:rPr>
      </w:pPr>
      <w:r>
        <w:rPr>
          <w:rFonts w:ascii="楷体_GB2312" w:eastAsia="楷体_GB2312" w:hAnsi="仿宋" w:hint="eastAsia"/>
          <w:b/>
          <w:bCs/>
          <w:sz w:val="32"/>
          <w:szCs w:val="32"/>
        </w:rPr>
        <w:t>（二）项目过程情况</w:t>
      </w:r>
    </w:p>
    <w:p w:rsidR="008A4F86" w:rsidRDefault="00224E10">
      <w:pPr>
        <w:pStyle w:val="a3"/>
        <w:spacing w:line="560" w:lineRule="exact"/>
        <w:ind w:firstLineChars="200" w:firstLine="643"/>
        <w:rPr>
          <w:rFonts w:ascii="仿宋_GB2312" w:eastAsia="仿宋_GB2312" w:hAnsi="仿宋" w:cs="Times New Roman"/>
          <w:sz w:val="32"/>
          <w:szCs w:val="32"/>
          <w:lang w:eastAsia="zh-CN"/>
        </w:rPr>
      </w:pPr>
      <w:r>
        <w:rPr>
          <w:rFonts w:ascii="仿宋_GB2312" w:eastAsia="仿宋_GB2312" w:hAnsi="仿宋" w:cs="Times New Roman" w:hint="eastAsia"/>
          <w:b/>
          <w:sz w:val="32"/>
          <w:szCs w:val="32"/>
          <w:lang w:eastAsia="zh-CN"/>
        </w:rPr>
        <w:t>1.抓好资金分配源头关。</w:t>
      </w:r>
      <w:r>
        <w:rPr>
          <w:rFonts w:ascii="仿宋_GB2312" w:eastAsia="仿宋_GB2312" w:hAnsi="仿宋" w:cs="Times New Roman" w:hint="eastAsia"/>
          <w:sz w:val="32"/>
          <w:szCs w:val="32"/>
          <w:lang w:eastAsia="zh-CN"/>
        </w:rPr>
        <w:t>根据森林资源建档数据，或项目单位申报的面积及时将资金分解下达各林权单位，本着公开、透明、共享的分配原则，要求各村召开村民代表大会，表决通过分配方案，并张榜公示。</w:t>
      </w:r>
    </w:p>
    <w:p w:rsidR="008A4F86" w:rsidRDefault="00224E10">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2.抓好资金拨付审核关。</w:t>
      </w:r>
      <w:r>
        <w:rPr>
          <w:rFonts w:ascii="仿宋_GB2312" w:eastAsia="仿宋_GB2312" w:hAnsi="仿宋" w:hint="eastAsia"/>
          <w:sz w:val="32"/>
          <w:szCs w:val="32"/>
        </w:rPr>
        <w:t>公益林补偿资金由各村召开村民代表大会形成分配方案，报林业部门审核，财政部门审批，兑现拨付。其中:用于林权所有者分配实行“一卡通”拨付方式，将资金及时拨付到林农提供的其本人银行账户上，减少了资金分配的中间环节;用于集体公益事业转入村集体账户，由村集体再按村民代表大会表决的资金用途使用资金；直接管护费由林业局直接拨付乡镇后支付。</w:t>
      </w:r>
    </w:p>
    <w:p w:rsidR="008A4F86" w:rsidRDefault="00224E10">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3.</w:t>
      </w:r>
      <w:r>
        <w:rPr>
          <w:rFonts w:ascii="仿宋_GB2312" w:eastAsia="仿宋_GB2312" w:hAnsi="宋体" w:hint="eastAsia"/>
          <w:b/>
          <w:sz w:val="32"/>
          <w:szCs w:val="32"/>
        </w:rPr>
        <w:t>做好事中监控。</w:t>
      </w:r>
      <w:r>
        <w:rPr>
          <w:rFonts w:ascii="仿宋_GB2312" w:eastAsia="仿宋_GB2312" w:hAnsi="宋体" w:hint="eastAsia"/>
          <w:sz w:val="32"/>
          <w:szCs w:val="32"/>
        </w:rPr>
        <w:t>实行每月跟踪调度，每季度对项目的实施情况进行评价监控，及时了解项目进度及实施中出现的的问题，及时反馈，分析原因，落实整改内容和时间节点，确保完成项目建设任务和资金绩效目标。</w:t>
      </w:r>
    </w:p>
    <w:p w:rsidR="008A4F86" w:rsidRDefault="00224E10">
      <w:pPr>
        <w:spacing w:line="560" w:lineRule="exact"/>
        <w:ind w:firstLineChars="200" w:firstLine="643"/>
        <w:rPr>
          <w:rFonts w:ascii="楷体_GB2312" w:eastAsia="楷体_GB2312" w:hAnsi="仿宋"/>
          <w:b/>
          <w:bCs/>
          <w:sz w:val="32"/>
          <w:szCs w:val="32"/>
        </w:rPr>
      </w:pPr>
      <w:r>
        <w:rPr>
          <w:rFonts w:ascii="楷体_GB2312" w:eastAsia="楷体_GB2312" w:hAnsi="仿宋" w:hint="eastAsia"/>
          <w:b/>
          <w:bCs/>
          <w:sz w:val="32"/>
          <w:szCs w:val="32"/>
        </w:rPr>
        <w:t>（三）项目产出情况</w:t>
      </w:r>
    </w:p>
    <w:p w:rsidR="008A4F86" w:rsidRDefault="00224E1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国家级公益林21.1474（万亩），天然商品林停伐管护补助面积46.0719（万亩）；森林可持续经营试点面积3474亩；林草湿荒综合监测图斑184个。</w:t>
      </w:r>
    </w:p>
    <w:p w:rsidR="008A4F86" w:rsidRDefault="00224E10">
      <w:pPr>
        <w:spacing w:line="560" w:lineRule="exact"/>
        <w:ind w:firstLineChars="200" w:firstLine="643"/>
        <w:rPr>
          <w:rFonts w:ascii="楷体_GB2312" w:eastAsia="楷体_GB2312" w:hAnsi="仿宋"/>
          <w:b/>
          <w:bCs/>
          <w:sz w:val="32"/>
          <w:szCs w:val="32"/>
        </w:rPr>
      </w:pPr>
      <w:r>
        <w:rPr>
          <w:rFonts w:ascii="楷体_GB2312" w:eastAsia="楷体_GB2312" w:hAnsi="仿宋" w:hint="eastAsia"/>
          <w:b/>
          <w:bCs/>
          <w:sz w:val="32"/>
          <w:szCs w:val="32"/>
        </w:rPr>
        <w:t>（四）项目效益情况</w:t>
      </w:r>
    </w:p>
    <w:p w:rsidR="008A4F86" w:rsidRDefault="00224E1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森林生态系统生态效益发挥明显、生态系统和生物多样性得到有效保护、持续发挥生态作用逐步提升。</w:t>
      </w:r>
    </w:p>
    <w:p w:rsidR="008A4F86" w:rsidRDefault="00224E10">
      <w:pPr>
        <w:spacing w:line="560" w:lineRule="exact"/>
        <w:ind w:firstLineChars="200" w:firstLine="643"/>
        <w:rPr>
          <w:rFonts w:ascii="楷体_GB2312" w:eastAsia="楷体_GB2312" w:hAnsi="仿宋"/>
          <w:b/>
          <w:bCs/>
          <w:sz w:val="32"/>
          <w:szCs w:val="32"/>
        </w:rPr>
      </w:pPr>
      <w:r>
        <w:rPr>
          <w:rFonts w:ascii="楷体_GB2312" w:eastAsia="楷体_GB2312" w:hAnsi="仿宋" w:hint="eastAsia"/>
          <w:b/>
          <w:bCs/>
          <w:sz w:val="32"/>
          <w:szCs w:val="32"/>
        </w:rPr>
        <w:t>（五）项目满意度情况</w:t>
      </w:r>
    </w:p>
    <w:p w:rsidR="008A4F86" w:rsidRDefault="00224E10">
      <w:pPr>
        <w:pStyle w:val="a3"/>
        <w:spacing w:line="560" w:lineRule="exact"/>
        <w:ind w:firstLineChars="200" w:firstLine="640"/>
        <w:rPr>
          <w:rFonts w:ascii="黑体" w:eastAsia="黑体" w:hAnsi="黑体" w:cs="黑体"/>
          <w:sz w:val="32"/>
          <w:szCs w:val="32"/>
          <w:lang w:eastAsia="zh-CN"/>
        </w:rPr>
      </w:pPr>
      <w:r>
        <w:rPr>
          <w:rFonts w:ascii="仿宋_GB2312" w:eastAsia="仿宋_GB2312" w:hAnsi="仿宋" w:cs="Times New Roman" w:hint="eastAsia"/>
          <w:color w:val="auto"/>
          <w:sz w:val="32"/>
          <w:szCs w:val="32"/>
          <w:lang w:eastAsia="zh-CN"/>
        </w:rPr>
        <w:t>林区职工和周边群众满意度</w:t>
      </w:r>
      <w:r>
        <w:rPr>
          <w:rFonts w:ascii="仿宋_GB2312" w:eastAsia="仿宋_GB2312" w:hAnsi="仿宋" w:hint="eastAsia"/>
          <w:color w:val="auto"/>
          <w:sz w:val="32"/>
          <w:szCs w:val="32"/>
          <w:lang w:eastAsia="zh-CN"/>
        </w:rPr>
        <w:t>≥</w:t>
      </w:r>
      <w:r>
        <w:rPr>
          <w:rFonts w:ascii="仿宋_GB2312" w:eastAsia="仿宋_GB2312" w:hAnsi="仿宋" w:cs="Times New Roman" w:hint="eastAsia"/>
          <w:color w:val="auto"/>
          <w:sz w:val="32"/>
          <w:szCs w:val="32"/>
          <w:lang w:eastAsia="zh-CN"/>
        </w:rPr>
        <w:t>85%。</w:t>
      </w:r>
    </w:p>
    <w:p w:rsidR="008A4F86" w:rsidRDefault="00224E10">
      <w:pPr>
        <w:pStyle w:val="a3"/>
        <w:spacing w:line="560" w:lineRule="exact"/>
        <w:ind w:firstLineChars="200" w:firstLine="640"/>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四、综合自评结论</w:t>
      </w:r>
    </w:p>
    <w:p w:rsidR="008A4F86" w:rsidRDefault="00224E10">
      <w:pPr>
        <w:spacing w:line="56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2025年我</w:t>
      </w:r>
      <w:r>
        <w:rPr>
          <w:rFonts w:ascii="仿宋_GB2312" w:eastAsia="仿宋_GB2312" w:hAnsi="仿宋" w:hint="eastAsia"/>
          <w:snapToGrid w:val="0"/>
          <w:kern w:val="0"/>
          <w:sz w:val="32"/>
          <w:szCs w:val="32"/>
        </w:rPr>
        <w:t>区</w:t>
      </w:r>
      <w:r>
        <w:rPr>
          <w:rFonts w:ascii="仿宋_GB2312" w:eastAsia="仿宋_GB2312" w:hAnsi="仿宋"/>
          <w:snapToGrid w:val="0"/>
          <w:kern w:val="0"/>
          <w:sz w:val="32"/>
          <w:szCs w:val="32"/>
        </w:rPr>
        <w:t>按照中央及省上有关资金管理办法和年初 下达的绩效目标，较好完成年初省上下达的各项绩效指标。</w:t>
      </w:r>
    </w:p>
    <w:p w:rsidR="008A4F86" w:rsidRDefault="00224E10">
      <w:pPr>
        <w:pStyle w:val="1"/>
        <w:spacing w:line="560" w:lineRule="exact"/>
        <w:ind w:leftChars="0" w:left="0" w:firstLineChars="200" w:firstLine="640"/>
        <w:rPr>
          <w:rFonts w:ascii="Times New Roman" w:hAnsi="Times New Roman" w:cs="Times New Roman"/>
          <w:lang w:eastAsia="zh-CN"/>
        </w:rPr>
      </w:pPr>
      <w:r>
        <w:rPr>
          <w:rFonts w:ascii="Times New Roman" w:hAnsi="Times New Roman" w:cs="Times New Roman" w:hint="eastAsia"/>
          <w:lang w:eastAsia="zh-CN"/>
        </w:rPr>
        <w:t>五、主要经验及做法、存在问题及原因分析</w:t>
      </w:r>
    </w:p>
    <w:p w:rsidR="008A4F86" w:rsidRDefault="00224E10">
      <w:pPr>
        <w:pStyle w:val="a3"/>
        <w:spacing w:line="560" w:lineRule="exact"/>
        <w:ind w:firstLineChars="200" w:firstLine="643"/>
        <w:rPr>
          <w:rFonts w:ascii="楷体_GB2312" w:eastAsia="楷体_GB2312" w:hAnsi="楷体" w:cs="楷体"/>
          <w:b/>
          <w:bCs/>
          <w:sz w:val="32"/>
          <w:szCs w:val="32"/>
          <w:lang w:eastAsia="zh-CN"/>
        </w:rPr>
      </w:pPr>
      <w:r>
        <w:rPr>
          <w:rFonts w:ascii="楷体_GB2312" w:eastAsia="楷体_GB2312" w:hAnsi="楷体" w:cs="楷体" w:hint="eastAsia"/>
          <w:b/>
          <w:bCs/>
          <w:sz w:val="32"/>
          <w:szCs w:val="32"/>
          <w:lang w:eastAsia="zh-CN"/>
        </w:rPr>
        <w:t>（一）主要经验做法</w:t>
      </w:r>
    </w:p>
    <w:p w:rsidR="008A4F86" w:rsidRDefault="00224E10">
      <w:pPr>
        <w:pStyle w:val="a3"/>
        <w:spacing w:line="560" w:lineRule="exact"/>
        <w:ind w:firstLineChars="200" w:firstLine="643"/>
        <w:rPr>
          <w:rFonts w:ascii="仿宋_GB2312" w:eastAsia="仿宋_GB2312"/>
          <w:sz w:val="32"/>
          <w:szCs w:val="32"/>
          <w:lang w:eastAsia="zh-CN"/>
        </w:rPr>
      </w:pPr>
      <w:r>
        <w:rPr>
          <w:rFonts w:ascii="仿宋_GB2312" w:eastAsia="仿宋_GB2312" w:hint="eastAsia"/>
          <w:b/>
          <w:sz w:val="32"/>
          <w:szCs w:val="32"/>
          <w:lang w:eastAsia="zh-CN"/>
        </w:rPr>
        <w:t>1.加强森林资源动态监测和管护。</w:t>
      </w:r>
      <w:r>
        <w:rPr>
          <w:rFonts w:ascii="仿宋_GB2312" w:eastAsia="仿宋_GB2312" w:hint="eastAsia"/>
          <w:sz w:val="32"/>
          <w:szCs w:val="32"/>
          <w:lang w:eastAsia="zh-CN"/>
        </w:rPr>
        <w:t>落实省级以上生态公益林管护责任，规范补助资金使用。严格控制占用征收生态公益林，严格执行生态公益林增减平衡原则。</w:t>
      </w:r>
    </w:p>
    <w:p w:rsidR="008A4F86" w:rsidRDefault="00224E10">
      <w:pPr>
        <w:pStyle w:val="a3"/>
        <w:spacing w:line="560" w:lineRule="exact"/>
        <w:ind w:firstLineChars="200" w:firstLine="643"/>
        <w:rPr>
          <w:rFonts w:ascii="仿宋_GB2312" w:eastAsia="仿宋_GB2312"/>
          <w:sz w:val="32"/>
          <w:szCs w:val="32"/>
          <w:lang w:eastAsia="zh-CN"/>
        </w:rPr>
      </w:pPr>
      <w:r>
        <w:rPr>
          <w:rFonts w:ascii="仿宋_GB2312" w:eastAsia="仿宋_GB2312" w:hint="eastAsia"/>
          <w:b/>
          <w:sz w:val="32"/>
          <w:szCs w:val="32"/>
          <w:lang w:eastAsia="zh-CN"/>
        </w:rPr>
        <w:t>2.实行护林员“四化”管理。</w:t>
      </w:r>
      <w:r>
        <w:rPr>
          <w:rFonts w:ascii="仿宋_GB2312" w:eastAsia="仿宋_GB2312" w:hint="eastAsia"/>
          <w:sz w:val="32"/>
          <w:szCs w:val="32"/>
          <w:lang w:eastAsia="zh-CN"/>
        </w:rPr>
        <w:t>全区共聘用护林员145人，推行“网格化、精细化、智能化、社会化”的护林管护模式，织牢森林地面巡护网，更好保护绿水青山。</w:t>
      </w:r>
    </w:p>
    <w:p w:rsidR="008A4F86" w:rsidRDefault="00224E10">
      <w:pPr>
        <w:pStyle w:val="a3"/>
        <w:spacing w:line="560" w:lineRule="exact"/>
        <w:ind w:firstLineChars="200" w:firstLine="643"/>
        <w:rPr>
          <w:rFonts w:ascii="仿宋_GB2312" w:eastAsia="仿宋_GB2312"/>
          <w:sz w:val="32"/>
          <w:szCs w:val="32"/>
          <w:lang w:eastAsia="zh-CN"/>
        </w:rPr>
      </w:pPr>
      <w:r>
        <w:rPr>
          <w:rFonts w:ascii="仿宋_GB2312" w:eastAsia="仿宋_GB2312" w:hint="eastAsia"/>
          <w:b/>
          <w:sz w:val="32"/>
          <w:szCs w:val="32"/>
          <w:lang w:eastAsia="zh-CN"/>
        </w:rPr>
        <w:t>3.推动森林生态安全技术创新。</w:t>
      </w:r>
      <w:r>
        <w:rPr>
          <w:rFonts w:ascii="仿宋_GB2312" w:eastAsia="仿宋_GB2312" w:hint="eastAsia"/>
          <w:sz w:val="32"/>
          <w:szCs w:val="32"/>
          <w:lang w:eastAsia="zh-CN"/>
        </w:rPr>
        <w:t>利用现代科学技术，构建“天上看、网上查、地上巡”立体综合巡护模式。建立上下联动、分级管理、齐抓共管的常态化森林资源监管机制。实现高水平监测、高效率监督、高质量管理。</w:t>
      </w:r>
    </w:p>
    <w:p w:rsidR="008A4F86" w:rsidRDefault="00224E10">
      <w:pPr>
        <w:pStyle w:val="a3"/>
        <w:spacing w:line="560" w:lineRule="exact"/>
        <w:ind w:firstLineChars="200" w:firstLine="643"/>
        <w:rPr>
          <w:rFonts w:ascii="楷体_GB2312" w:eastAsia="楷体_GB2312" w:hAnsi="楷体" w:cs="楷体"/>
          <w:b/>
          <w:bCs/>
          <w:sz w:val="32"/>
          <w:szCs w:val="32"/>
          <w:lang w:eastAsia="zh-CN"/>
        </w:rPr>
      </w:pPr>
      <w:r>
        <w:rPr>
          <w:rFonts w:ascii="仿宋_GB2312" w:eastAsia="仿宋_GB2312" w:hint="eastAsia"/>
          <w:b/>
          <w:sz w:val="32"/>
          <w:szCs w:val="32"/>
          <w:lang w:eastAsia="zh-CN"/>
        </w:rPr>
        <w:t>4.规范补偿资金使用管理。一是</w:t>
      </w:r>
      <w:r>
        <w:rPr>
          <w:rFonts w:ascii="仿宋_GB2312" w:eastAsia="仿宋_GB2312" w:hint="eastAsia"/>
          <w:sz w:val="32"/>
          <w:szCs w:val="32"/>
          <w:lang w:eastAsia="zh-CN"/>
        </w:rPr>
        <w:t>三元区林业局根据省级以上财政林业相关专项资金管理办法等文件要求，联合区财政局下发《关于森林生态效益补偿补助和天然林停伐补助资金使用管理规定的通知》和《关于森林生态效益补偿补助和天然林停伐补助资金使用管理规定的补充通知》。</w:t>
      </w:r>
      <w:r>
        <w:rPr>
          <w:rFonts w:ascii="仿宋_GB2312" w:eastAsia="仿宋_GB2312" w:hint="eastAsia"/>
          <w:b/>
          <w:sz w:val="32"/>
          <w:szCs w:val="32"/>
          <w:lang w:eastAsia="zh-CN"/>
        </w:rPr>
        <w:t>二是</w:t>
      </w:r>
      <w:r>
        <w:rPr>
          <w:rFonts w:ascii="仿宋_GB2312" w:eastAsia="仿宋_GB2312" w:hint="eastAsia"/>
          <w:sz w:val="32"/>
          <w:szCs w:val="32"/>
          <w:lang w:eastAsia="zh-CN"/>
        </w:rPr>
        <w:t>严格资金拨付流程，严格检查验收和原始凭证审核。</w:t>
      </w:r>
      <w:r>
        <w:rPr>
          <w:rFonts w:ascii="仿宋_GB2312" w:eastAsia="仿宋_GB2312" w:hint="eastAsia"/>
          <w:b/>
          <w:sz w:val="32"/>
          <w:szCs w:val="32"/>
          <w:lang w:eastAsia="zh-CN"/>
        </w:rPr>
        <w:t>三是</w:t>
      </w:r>
      <w:r>
        <w:rPr>
          <w:rFonts w:ascii="仿宋_GB2312" w:eastAsia="仿宋_GB2312" w:hint="eastAsia"/>
          <w:sz w:val="32"/>
          <w:szCs w:val="32"/>
          <w:lang w:eastAsia="zh-CN"/>
        </w:rPr>
        <w:t>加强检</w:t>
      </w:r>
      <w:r>
        <w:rPr>
          <w:rFonts w:ascii="仿宋_GB2312" w:eastAsia="仿宋_GB2312" w:hint="eastAsia"/>
          <w:sz w:val="32"/>
          <w:szCs w:val="32"/>
          <w:lang w:eastAsia="zh-CN"/>
        </w:rPr>
        <w:lastRenderedPageBreak/>
        <w:t>查监督。每年组织对森林生态保护成效监测评价，对发现的问题进行通报，要求及时整改，进一步规范补助资金的管理使用。</w:t>
      </w:r>
    </w:p>
    <w:p w:rsidR="008A4F86" w:rsidRDefault="00224E10">
      <w:pPr>
        <w:pStyle w:val="a3"/>
        <w:spacing w:line="560" w:lineRule="exact"/>
        <w:ind w:firstLineChars="200" w:firstLine="643"/>
        <w:rPr>
          <w:rFonts w:ascii="楷体_GB2312" w:eastAsia="楷体_GB2312" w:hAnsi="楷体" w:cs="楷体"/>
          <w:b/>
          <w:bCs/>
          <w:sz w:val="32"/>
          <w:szCs w:val="32"/>
          <w:lang w:eastAsia="zh-CN"/>
        </w:rPr>
      </w:pPr>
      <w:r>
        <w:rPr>
          <w:rFonts w:ascii="楷体_GB2312" w:eastAsia="楷体_GB2312" w:hAnsi="楷体" w:cs="楷体" w:hint="eastAsia"/>
          <w:b/>
          <w:bCs/>
          <w:sz w:val="32"/>
          <w:szCs w:val="32"/>
          <w:lang w:eastAsia="zh-CN"/>
        </w:rPr>
        <w:t>（二）存在主要问题及原因分析</w:t>
      </w:r>
    </w:p>
    <w:p w:rsidR="008A4F86" w:rsidRDefault="00224E10">
      <w:pPr>
        <w:pStyle w:val="a3"/>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森林生态补偿标准问题。现行生态公益林补偿标准每年每亩22-23元（其中：中央财政：国有10元，集体或个人16元，不足部分省财政补助），天然商品林停伐管护补助标准每年每亩23元。林农反映目前补助标准低（到林农手中只有23元的65-70%，每年每亩只有15元左右），还不足以还款付息，与商品林经营收益（根据测算我市商品林经营收益约100元/亩）相比、差距较大。林农利益无法保障，反映强烈。</w:t>
      </w:r>
    </w:p>
    <w:p w:rsidR="008A4F86" w:rsidRDefault="00224E10">
      <w:pPr>
        <w:pStyle w:val="a3"/>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林草湿数据与第三次全国国土调查数据对接融合后数据至今尚未正式启用，且融合后的数据与原森林资源数据存在较大差异，给林业部门在数据使用、地类认定、资源管理、补助资金发放等方面造成很多问题，恳请上级部门予以协调解决。</w:t>
      </w:r>
    </w:p>
    <w:p w:rsidR="008A4F86" w:rsidRDefault="00224E10">
      <w:pPr>
        <w:pStyle w:val="a3"/>
        <w:spacing w:line="56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六、其他需要说明的问题</w:t>
      </w:r>
    </w:p>
    <w:p w:rsidR="008A4F86" w:rsidRDefault="00224E10">
      <w:pPr>
        <w:pStyle w:val="a3"/>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无。</w:t>
      </w:r>
    </w:p>
    <w:p w:rsidR="008A4F86" w:rsidRDefault="008A4F86">
      <w:pPr>
        <w:spacing w:line="560" w:lineRule="exact"/>
        <w:ind w:leftChars="200" w:left="420" w:firstLineChars="200" w:firstLine="640"/>
        <w:rPr>
          <w:rFonts w:ascii="仿宋_GB2312" w:eastAsia="仿宋_GB2312" w:hAnsi="仿宋_GB2312" w:cs="仿宋_GB2312"/>
          <w:sz w:val="32"/>
          <w:szCs w:val="32"/>
        </w:rPr>
      </w:pPr>
    </w:p>
    <w:p w:rsidR="008A4F86" w:rsidRDefault="00224E10">
      <w:pPr>
        <w:spacing w:line="560" w:lineRule="exact"/>
        <w:ind w:firstLineChars="200" w:firstLine="640"/>
        <w:rPr>
          <w:rFonts w:ascii="仿宋_GB2312" w:eastAsia="仿宋_GB2312" w:hAnsi="Arial" w:cs="Arial"/>
          <w:snapToGrid w:val="0"/>
          <w:color w:val="000000"/>
          <w:kern w:val="0"/>
          <w:sz w:val="32"/>
          <w:szCs w:val="32"/>
        </w:rPr>
        <w:sectPr w:rsidR="008A4F86">
          <w:footerReference w:type="even" r:id="rId9"/>
          <w:footerReference w:type="default" r:id="rId10"/>
          <w:pgSz w:w="11910" w:h="16840"/>
          <w:pgMar w:top="1431" w:right="1786" w:bottom="987" w:left="1759" w:header="0" w:footer="689" w:gutter="0"/>
          <w:pgNumType w:fmt="numberInDash"/>
          <w:cols w:space="720"/>
        </w:sectPr>
      </w:pPr>
      <w:r>
        <w:rPr>
          <w:rFonts w:ascii="仿宋_GB2312" w:eastAsia="仿宋_GB2312" w:hAnsi="Arial" w:cs="Arial" w:hint="eastAsia"/>
          <w:snapToGrid w:val="0"/>
          <w:color w:val="000000"/>
          <w:kern w:val="0"/>
          <w:sz w:val="32"/>
          <w:szCs w:val="32"/>
        </w:rPr>
        <w:t>附件4</w:t>
      </w:r>
      <w:r>
        <w:rPr>
          <w:rFonts w:ascii="仿宋_GB2312" w:eastAsia="仿宋_GB2312" w:hAnsi="Arial" w:cs="Arial"/>
          <w:snapToGrid w:val="0"/>
          <w:color w:val="000000"/>
          <w:kern w:val="0"/>
          <w:sz w:val="32"/>
          <w:szCs w:val="32"/>
        </w:rPr>
        <w:t>-</w:t>
      </w:r>
      <w:r>
        <w:rPr>
          <w:rFonts w:ascii="仿宋_GB2312" w:eastAsia="仿宋_GB2312" w:hAnsi="Arial" w:cs="Arial" w:hint="eastAsia"/>
          <w:snapToGrid w:val="0"/>
          <w:color w:val="000000"/>
          <w:kern w:val="0"/>
          <w:sz w:val="32"/>
          <w:szCs w:val="32"/>
        </w:rPr>
        <w:t>1:林业草原生态保护恢复资金区域绩效自评表</w:t>
      </w:r>
    </w:p>
    <w:p w:rsidR="008A4F86" w:rsidRDefault="00224E10">
      <w:pPr>
        <w:spacing w:before="265" w:line="224" w:lineRule="auto"/>
        <w:rPr>
          <w:rFonts w:ascii="黑体" w:eastAsia="黑体" w:hAnsi="黑体" w:cs="黑体"/>
          <w:sz w:val="32"/>
          <w:szCs w:val="32"/>
        </w:rPr>
      </w:pPr>
      <w:r>
        <w:rPr>
          <w:rFonts w:ascii="黑体" w:eastAsia="黑体" w:hAnsi="黑体" w:cs="黑体"/>
          <w:spacing w:val="19"/>
          <w:sz w:val="32"/>
          <w:szCs w:val="32"/>
        </w:rPr>
        <w:lastRenderedPageBreak/>
        <w:t>附件2</w:t>
      </w:r>
    </w:p>
    <w:p w:rsidR="008A4F86" w:rsidRDefault="008A4F86">
      <w:pPr>
        <w:spacing w:line="560" w:lineRule="exact"/>
        <w:ind w:firstLineChars="200" w:firstLine="880"/>
        <w:jc w:val="center"/>
        <w:rPr>
          <w:rFonts w:eastAsia="方正小标宋简体"/>
          <w:sz w:val="44"/>
          <w:szCs w:val="44"/>
        </w:rPr>
      </w:pPr>
    </w:p>
    <w:p w:rsidR="008A4F86" w:rsidRDefault="00224E10">
      <w:pPr>
        <w:spacing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2025年度中央财政林业改革发展专项</w:t>
      </w:r>
    </w:p>
    <w:p w:rsidR="008A4F86" w:rsidRDefault="00224E10">
      <w:pPr>
        <w:spacing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资金绩效自评报告</w:t>
      </w:r>
    </w:p>
    <w:p w:rsidR="008A4F86" w:rsidRDefault="008A4F86">
      <w:pPr>
        <w:spacing w:line="560" w:lineRule="exact"/>
        <w:rPr>
          <w:rFonts w:ascii="仿宋" w:eastAsia="仿宋" w:hAnsi="仿宋"/>
          <w:sz w:val="28"/>
          <w:szCs w:val="28"/>
        </w:rPr>
      </w:pP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为提高造林及森林抚育专项资金使用绩效，林业局组织相关业务人员对2025年度造林及森林抚育专项开展绩效评价。</w:t>
      </w:r>
    </w:p>
    <w:p w:rsidR="008A4F86" w:rsidRDefault="00224E10">
      <w:pPr>
        <w:spacing w:line="560" w:lineRule="exact"/>
        <w:ind w:firstLineChars="200" w:firstLine="640"/>
        <w:outlineLvl w:val="0"/>
        <w:rPr>
          <w:rFonts w:ascii="黑体" w:eastAsia="黑体" w:hAnsi="黑体" w:cs="仿宋_GB2312"/>
          <w:bCs/>
          <w:sz w:val="32"/>
          <w:szCs w:val="32"/>
        </w:rPr>
      </w:pPr>
      <w:r>
        <w:rPr>
          <w:rFonts w:ascii="黑体" w:eastAsia="黑体" w:hAnsi="黑体" w:cs="仿宋_GB2312" w:hint="eastAsia"/>
          <w:bCs/>
          <w:sz w:val="32"/>
          <w:szCs w:val="32"/>
        </w:rPr>
        <w:t>一、绩效目标分解下达情况</w:t>
      </w:r>
    </w:p>
    <w:p w:rsidR="008A4F86" w:rsidRDefault="00224E10">
      <w:pPr>
        <w:spacing w:line="560" w:lineRule="exact"/>
        <w:ind w:firstLineChars="200" w:firstLine="643"/>
        <w:outlineLvl w:val="0"/>
        <w:rPr>
          <w:rFonts w:ascii="楷体" w:eastAsia="楷体" w:hAnsi="楷体" w:cs="仿宋_GB2312"/>
          <w:b/>
          <w:sz w:val="32"/>
          <w:szCs w:val="32"/>
        </w:rPr>
      </w:pPr>
      <w:r>
        <w:rPr>
          <w:rFonts w:ascii="楷体" w:eastAsia="楷体" w:hAnsi="楷体" w:cs="仿宋_GB2312" w:hint="eastAsia"/>
          <w:b/>
          <w:sz w:val="32"/>
          <w:szCs w:val="32"/>
        </w:rPr>
        <w:t>（一）上级机构和本单位分解下达预算和绩效目标</w:t>
      </w:r>
    </w:p>
    <w:p w:rsidR="008A4F86" w:rsidRDefault="00224E1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造林任务3000亩（其中陈大镇450亩、洋溪镇180亩、三元区国有林场850亩、陈大国有林场520亩、台江国有林场1000亩），森林抚育任务2500亩（岩前镇160亩、陈大镇820亩、莘口镇85亩、洋溪镇350亩、富兴堡街道145亩、三元区国有林场800亩、台江国有林场140亩）。共申请补助资金460.6万元，其中中央财政造林补助资金300万元、中央财政森林抚育补助资金160.6万元。造林完成面积合格率≥90%,造林任务当期任务完成率≥100%；森林抚育质量合格率≥90%,森林抚育当期任务完成率≥100%；林区职工、周边群众满意度≥90%。</w:t>
      </w:r>
    </w:p>
    <w:p w:rsidR="008A4F86" w:rsidRDefault="00224E1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2025年森林修复任务4700亩（其中三元区国有林场1900亩、陈大国有林场1400亩、台江国有林场1400亩）。共申请</w:t>
      </w:r>
      <w:r>
        <w:rPr>
          <w:rFonts w:ascii="仿宋_GB2312" w:eastAsia="仿宋_GB2312" w:hint="eastAsia"/>
          <w:sz w:val="32"/>
          <w:szCs w:val="32"/>
        </w:rPr>
        <w:lastRenderedPageBreak/>
        <w:t>补助资金137.2万元。森林保护修复补助兑现率（%）100%；林区职工、周边群众满意度≥90%。</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三元区全年林业有害生物成灾面积4227亩，成灾率为2.13 ‰，控制在省、市下达的4‰以内；全年林业有害生物发生面积33696亩，防治采用生物药剂及营林措施等进行防治，防治面积 33696 亩，无公害防治达100%；完成林分改造1.73万亩，占省级下达任务1万亩的173.31%。</w:t>
      </w:r>
    </w:p>
    <w:p w:rsidR="008A4F86" w:rsidRDefault="00224E10">
      <w:pPr>
        <w:spacing w:line="56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二、绩效情况分析</w:t>
      </w:r>
    </w:p>
    <w:p w:rsidR="008A4F86" w:rsidRDefault="00224E10">
      <w:pPr>
        <w:spacing w:line="560" w:lineRule="exact"/>
        <w:ind w:firstLineChars="200" w:firstLine="643"/>
        <w:rPr>
          <w:rFonts w:ascii="楷体" w:eastAsia="楷体" w:hAnsi="楷体" w:cs="仿宋_GB2312"/>
          <w:sz w:val="32"/>
          <w:szCs w:val="32"/>
        </w:rPr>
      </w:pPr>
      <w:r>
        <w:rPr>
          <w:rFonts w:ascii="楷体" w:eastAsia="楷体" w:hAnsi="楷体" w:cs="仿宋_GB2312" w:hint="eastAsia"/>
          <w:b/>
          <w:bCs/>
          <w:sz w:val="32"/>
          <w:szCs w:val="32"/>
        </w:rPr>
        <w:t>（一）项目资金情况分析</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1.项目资金到位情况分析</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2025年中央财政造林补助资金300万元，中央财政森林抚育补助资金160.6万元，合计460.6万元已全部到位。</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2025年森林修复补助资金137.2万元，137.2万元已全部到位。</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2.项目资金执行情况分析</w:t>
      </w:r>
    </w:p>
    <w:p w:rsidR="008A4F86" w:rsidRDefault="00224E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及时将上级下达的造林及森林抚育任务下达到各乡镇、国有林场，对通过检查验收且手续完备的，按照《财政部、国家林草局关于修订&lt;林业草原改革发展资金管理办法》的通知〉（财资环</w:t>
      </w:r>
      <w:r>
        <w:rPr>
          <w:rFonts w:ascii="仿宋_GB2312" w:eastAsia="仿宋_GB2312" w:hint="eastAsia"/>
          <w:sz w:val="32"/>
          <w:szCs w:val="32"/>
        </w:rPr>
        <w:t>〔2024〕158</w:t>
      </w:r>
      <w:r>
        <w:rPr>
          <w:rFonts w:ascii="仿宋_GB2312" w:eastAsia="仿宋_GB2312" w:hAnsi="仿宋_GB2312" w:cs="仿宋_GB2312" w:hint="eastAsia"/>
          <w:sz w:val="32"/>
          <w:szCs w:val="32"/>
        </w:rPr>
        <w:t>号）文件要求，并全部支付。</w:t>
      </w:r>
    </w:p>
    <w:p w:rsidR="008A4F86" w:rsidRDefault="00224E10">
      <w:pPr>
        <w:spacing w:line="56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三元区林业有害生物防治工作有序推进，基本能够在规定的时间节点内完成各项工作。</w:t>
      </w:r>
      <w:r>
        <w:rPr>
          <w:rFonts w:ascii="仿宋_GB2312" w:eastAsia="仿宋_GB2312" w:hAnsi="楷体" w:cs="楷体" w:hint="eastAsia"/>
          <w:sz w:val="32"/>
          <w:szCs w:val="32"/>
        </w:rPr>
        <w:t>对照各项指标，三元区林业有害生物防治实际完成值均超出绩效目标值，</w:t>
      </w:r>
      <w:r>
        <w:rPr>
          <w:rFonts w:ascii="仿宋_GB2312" w:eastAsia="仿宋_GB2312" w:cs="仿宋_GB2312" w:hint="eastAsia"/>
          <w:color w:val="000000"/>
          <w:sz w:val="32"/>
          <w:szCs w:val="32"/>
        </w:rPr>
        <w:t>开展林业有害</w:t>
      </w:r>
      <w:r>
        <w:rPr>
          <w:rFonts w:ascii="仿宋_GB2312" w:eastAsia="仿宋_GB2312" w:cs="仿宋_GB2312" w:hint="eastAsia"/>
          <w:color w:val="000000"/>
          <w:sz w:val="32"/>
          <w:szCs w:val="32"/>
        </w:rPr>
        <w:lastRenderedPageBreak/>
        <w:t>生物防治尤其是松材线虫病的除治，通过清理松枯死木、防治性采伐林分改造等综合措施，能预防林业有害生物的大面积发生，控制松材线虫病疫情扩散蔓延。</w:t>
      </w:r>
      <w:r>
        <w:rPr>
          <w:rFonts w:ascii="仿宋_GB2312" w:eastAsia="仿宋_GB2312" w:hAnsi="楷体" w:cs="楷体" w:hint="eastAsia"/>
          <w:sz w:val="32"/>
          <w:szCs w:val="32"/>
        </w:rPr>
        <w:t>总体评价“好”。</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3.项目资金管理情况分析</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按项目实施进度及时拨付补助资金。项目实行独立核算，资金按专项管理，加强对合同、验收单、票据等原始凭证的签章及信息核查，确保记账依据完备齐全。加强造林及森林抚育专项资金的管理，规范支付程序，完备支付手续，对通过省市检查验收且手续完备的，按照《财政部、国家林草局关于修订&lt;林业草原改革发展资金管理办法》的通知〉（财资环〔2024〕158号）及时拨付补助资金。加强造林及森林抚育专项资金使用情况的监督检查,发现问题及时纠正,补贴资金分账合算,专款专用,对截留/挤占/挪用/套用补贴资金的,按照《财政违法行为处罚处分条例》及相关法律法规追究有关责任。</w:t>
      </w:r>
    </w:p>
    <w:p w:rsidR="008A4F86" w:rsidRDefault="00224E10">
      <w:pPr>
        <w:spacing w:line="560" w:lineRule="exact"/>
        <w:ind w:firstLineChars="200" w:firstLine="643"/>
        <w:rPr>
          <w:rFonts w:ascii="楷体" w:eastAsia="楷体" w:hAnsi="楷体" w:cs="仿宋_GB2312"/>
          <w:b/>
          <w:bCs/>
          <w:sz w:val="32"/>
          <w:szCs w:val="32"/>
        </w:rPr>
      </w:pPr>
      <w:r>
        <w:rPr>
          <w:rFonts w:ascii="楷体" w:eastAsia="楷体" w:hAnsi="楷体" w:cs="仿宋_GB2312" w:hint="eastAsia"/>
          <w:b/>
          <w:bCs/>
          <w:sz w:val="32"/>
          <w:szCs w:val="32"/>
        </w:rPr>
        <w:t>（二）项目绩效指标完成情况分析</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1.产出指标完成情况分析</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1</w:t>
      </w:r>
      <w:r>
        <w:rPr>
          <w:rFonts w:ascii="仿宋_GB2312" w:eastAsia="仿宋_GB2312" w:hint="eastAsia"/>
          <w:b/>
          <w:sz w:val="32"/>
          <w:szCs w:val="32"/>
        </w:rPr>
        <w:t>）项目完成数量指标</w:t>
      </w:r>
    </w:p>
    <w:p w:rsidR="008A4F86" w:rsidRDefault="00224E10">
      <w:pPr>
        <w:spacing w:line="560" w:lineRule="exact"/>
        <w:ind w:firstLineChars="200" w:firstLine="640"/>
        <w:rPr>
          <w:rFonts w:ascii="仿宋_GB2312" w:eastAsia="仿宋_GB2312"/>
          <w:b/>
          <w:sz w:val="32"/>
          <w:szCs w:val="32"/>
        </w:rPr>
      </w:pPr>
      <w:r>
        <w:rPr>
          <w:rFonts w:ascii="仿宋_GB2312" w:eastAsia="仿宋_GB2312" w:hint="eastAsia"/>
          <w:sz w:val="32"/>
          <w:szCs w:val="32"/>
        </w:rPr>
        <w:t>2025年通过自查验收,完成造林3106亩（其中陈大镇495亩、洋溪镇186亩、三元区国有林场855亩、陈大国有林场539亩、台江国有林场1031亩），森林抚育2719亩（岩前镇189亩、陈大镇963亩、莘口镇101亩、洋溪镇350亩、富</w:t>
      </w:r>
      <w:r>
        <w:rPr>
          <w:rFonts w:ascii="仿宋_GB2312" w:eastAsia="仿宋_GB2312" w:hint="eastAsia"/>
          <w:sz w:val="32"/>
          <w:szCs w:val="32"/>
        </w:rPr>
        <w:lastRenderedPageBreak/>
        <w:t>兴堡街道172亩、三元区国有林场800亩、台江国有林场144亩）</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2025年通过自查验收,完成森林修复4738亩（其中三元区国有林场1921亩、陈大国有林场1407亩、台江国有林场1410亩）。</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2</w:t>
      </w:r>
      <w:r>
        <w:rPr>
          <w:rFonts w:ascii="仿宋_GB2312" w:eastAsia="仿宋_GB2312" w:hint="eastAsia"/>
          <w:b/>
          <w:sz w:val="32"/>
          <w:szCs w:val="32"/>
        </w:rPr>
        <w:t>）项目完成质量指标</w:t>
      </w:r>
    </w:p>
    <w:p w:rsidR="008A4F86" w:rsidRDefault="00224E10">
      <w:pPr>
        <w:spacing w:line="560" w:lineRule="exact"/>
        <w:ind w:firstLineChars="200" w:firstLine="640"/>
        <w:rPr>
          <w:rFonts w:ascii="仿宋_GB2312" w:eastAsia="仿宋_GB2312"/>
          <w:b/>
          <w:sz w:val="32"/>
          <w:szCs w:val="32"/>
        </w:rPr>
      </w:pPr>
      <w:r>
        <w:rPr>
          <w:rFonts w:ascii="仿宋_GB2312" w:eastAsia="仿宋_GB2312" w:hint="eastAsia"/>
          <w:sz w:val="32"/>
          <w:szCs w:val="32"/>
        </w:rPr>
        <w:t>造林完成面积合格率≥90%,造林任务当期任务完成率≥100%；森林抚育质量合格率≥90%,森林抚育当期任务完成率≥100%。森林保护修复补助兑现率（%）100%；林区职工、周边群众满意度≥90%。</w:t>
      </w:r>
    </w:p>
    <w:p w:rsidR="008A4F86" w:rsidRDefault="00224E10">
      <w:pPr>
        <w:widowControl/>
        <w:numPr>
          <w:ilvl w:val="0"/>
          <w:numId w:val="1"/>
        </w:numPr>
        <w:kinsoku w:val="0"/>
        <w:autoSpaceDE w:val="0"/>
        <w:autoSpaceDN w:val="0"/>
        <w:adjustRightInd w:val="0"/>
        <w:snapToGrid w:val="0"/>
        <w:spacing w:line="560" w:lineRule="exact"/>
        <w:ind w:firstLineChars="200" w:firstLine="643"/>
        <w:jc w:val="left"/>
        <w:textAlignment w:val="baseline"/>
        <w:rPr>
          <w:rFonts w:ascii="仿宋_GB2312" w:eastAsia="仿宋_GB2312"/>
          <w:b/>
          <w:sz w:val="32"/>
          <w:szCs w:val="32"/>
        </w:rPr>
      </w:pPr>
      <w:r>
        <w:rPr>
          <w:rFonts w:ascii="仿宋_GB2312" w:eastAsia="仿宋_GB2312" w:hint="eastAsia"/>
          <w:b/>
          <w:sz w:val="32"/>
          <w:szCs w:val="32"/>
        </w:rPr>
        <w:t>项目实施进度</w:t>
      </w:r>
    </w:p>
    <w:p w:rsidR="008A4F86" w:rsidRDefault="00224E10">
      <w:pPr>
        <w:widowControl/>
        <w:kinsoku w:val="0"/>
        <w:autoSpaceDE w:val="0"/>
        <w:autoSpaceDN w:val="0"/>
        <w:adjustRightInd w:val="0"/>
        <w:snapToGrid w:val="0"/>
        <w:spacing w:line="560" w:lineRule="exact"/>
        <w:ind w:firstLineChars="200" w:firstLine="640"/>
        <w:jc w:val="left"/>
        <w:textAlignment w:val="baseline"/>
        <w:rPr>
          <w:rFonts w:ascii="仿宋_GB2312" w:eastAsia="仿宋_GB2312"/>
          <w:sz w:val="32"/>
          <w:szCs w:val="32"/>
        </w:rPr>
      </w:pPr>
      <w:r>
        <w:rPr>
          <w:rFonts w:ascii="仿宋_GB2312" w:eastAsia="仿宋_GB2312" w:hint="eastAsia"/>
          <w:sz w:val="32"/>
          <w:szCs w:val="32"/>
        </w:rPr>
        <w:t>项目建设严格按照上级文件及批复的作业设计实施，2025年完成造林及森林抚育面积5825亩，其中造林3106亩，森林抚育2719亩。</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2025年完成森林修复面积4738亩。</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2.效益指标完成情况分析</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造林产生经济、社会、生态效益。</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（1）经济效益</w:t>
      </w:r>
    </w:p>
    <w:p w:rsidR="008A4F86" w:rsidRDefault="00224E10">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通过构</w:t>
      </w:r>
      <w:r>
        <w:rPr>
          <w:rFonts w:ascii="仿宋_GB2312" w:eastAsia="仿宋_GB2312" w:hint="eastAsia"/>
          <w:sz w:val="32"/>
          <w:szCs w:val="32"/>
        </w:rPr>
        <w:t>建布局合理、功能得体、自身系统健康的森林景观安全格局，不仅大大提高森林抵御、有害生物为害的能力，而且显著增强抵御自然灾害的能力，减轻自然灾害对农业、林业、水利、旅游等所造成的损失。区域生态环境的改善，</w:t>
      </w:r>
      <w:r>
        <w:rPr>
          <w:rFonts w:ascii="仿宋_GB2312" w:eastAsia="仿宋_GB2312" w:hint="eastAsia"/>
          <w:sz w:val="32"/>
          <w:szCs w:val="32"/>
        </w:rPr>
        <w:lastRenderedPageBreak/>
        <w:t>将有效地带动当地旅游业发展；同时，随着区域生态产业、产品结构调整，促进第一、第二、第三产业的协调发展和经济的全面增长。项目实施后，通过先进适用技术的应用、</w:t>
      </w:r>
      <w:r>
        <w:rPr>
          <w:rFonts w:ascii="仿宋_GB2312" w:eastAsia="仿宋_GB2312" w:hAnsi="仿宋_GB2312" w:cs="仿宋_GB2312" w:hint="eastAsia"/>
          <w:sz w:val="32"/>
          <w:szCs w:val="32"/>
        </w:rPr>
        <w:t>林</w:t>
      </w:r>
      <w:r>
        <w:rPr>
          <w:rFonts w:ascii="仿宋_GB2312" w:eastAsia="仿宋_GB2312" w:hint="eastAsia"/>
          <w:sz w:val="32"/>
          <w:szCs w:val="32"/>
        </w:rPr>
        <w:t>业机制改革与创新，林分质量得到明显改善，后备森林资源大幅增加，林木资产储备效益显著。</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（2）社会效益</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A.项目建设规划的全面实施，将显著改善城市生态环境和投资环境。</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B.大大增强生态建设后续的可持续发展能力，有效改善城市和城郊农村人居与生产环境，弘扬绿色文化，促进物质文明、精神文明和政治文明的协调发展。</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C.项目投入的科技含量高，经营管理手段先进，有助于提高绿色产业在经济结构中的比重。同时刺激当地与之相关行业的发展，扩大就业机会，促进经济社会全面发展。</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（3）生态效益</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充分利用优质种苗造林，进行科学造林，开展造林抚育，部分实行施基肥，有力提高林地产出</w:t>
      </w:r>
      <w:r>
        <w:rPr>
          <w:rFonts w:ascii="仿宋_GB2312" w:eastAsia="仿宋_GB2312" w:hAnsi="仿宋_GB2312" w:cs="仿宋_GB2312" w:hint="eastAsia"/>
          <w:sz w:val="32"/>
          <w:szCs w:val="32"/>
        </w:rPr>
        <w:t>率和使林地尽快郁闭，</w:t>
      </w:r>
      <w:r>
        <w:rPr>
          <w:rFonts w:ascii="仿宋_GB2312" w:eastAsia="仿宋_GB2312" w:hint="eastAsia"/>
          <w:sz w:val="32"/>
          <w:szCs w:val="32"/>
        </w:rPr>
        <w:t>这既可充分利用土地资源，绿化荒山荒地，为野生动植物提供良好的栖息环境，丰富生物多样性，增强森林生态服务功能，美化森林周边农村人居环境，改善山区生态面貌，又能增加单位面积林地出材率，提高林农职工的收入，实现森林得绿、林农得益。</w:t>
      </w:r>
    </w:p>
    <w:p w:rsidR="008A4F86" w:rsidRPr="0092678E" w:rsidRDefault="00224E10">
      <w:pPr>
        <w:widowControl/>
        <w:kinsoku w:val="0"/>
        <w:autoSpaceDE w:val="0"/>
        <w:autoSpaceDN w:val="0"/>
        <w:adjustRightInd w:val="0"/>
        <w:snapToGrid w:val="0"/>
        <w:spacing w:line="560" w:lineRule="exact"/>
        <w:ind w:firstLineChars="200" w:firstLine="643"/>
        <w:jc w:val="left"/>
        <w:textAlignment w:val="baseline"/>
        <w:rPr>
          <w:rFonts w:ascii="仿宋_GB2312" w:eastAsia="仿宋_GB2312"/>
          <w:b/>
          <w:sz w:val="32"/>
          <w:szCs w:val="32"/>
        </w:rPr>
      </w:pPr>
      <w:r w:rsidRPr="0092678E">
        <w:rPr>
          <w:rFonts w:ascii="仿宋_GB2312" w:eastAsia="仿宋_GB2312" w:hint="eastAsia"/>
          <w:b/>
          <w:sz w:val="32"/>
          <w:szCs w:val="32"/>
        </w:rPr>
        <w:lastRenderedPageBreak/>
        <w:t>3.项目实施的可影响分析</w:t>
      </w:r>
    </w:p>
    <w:p w:rsidR="008A4F86" w:rsidRPr="0092678E" w:rsidRDefault="00224E10">
      <w:pPr>
        <w:spacing w:line="560" w:lineRule="exact"/>
        <w:ind w:firstLineChars="200" w:firstLine="640"/>
        <w:rPr>
          <w:rFonts w:ascii="仿宋_GB2312" w:eastAsia="仿宋_GB2312"/>
          <w:sz w:val="32"/>
          <w:szCs w:val="32"/>
        </w:rPr>
      </w:pPr>
      <w:r w:rsidRPr="0092678E">
        <w:rPr>
          <w:rFonts w:ascii="仿宋_GB2312" w:eastAsia="仿宋_GB2312" w:hint="eastAsia"/>
          <w:sz w:val="32"/>
          <w:szCs w:val="32"/>
        </w:rPr>
        <w:t>通过项目的实施，增加了林地面积和森林覆盖率，对涵养水源、保持水土流失、改善林地生态条件、抵御自然灾害均产生有益作用，增强了林业的可持续发展。</w:t>
      </w:r>
    </w:p>
    <w:p w:rsidR="008A4F86" w:rsidRPr="0092678E" w:rsidRDefault="00224E10">
      <w:pPr>
        <w:spacing w:line="560" w:lineRule="exact"/>
        <w:ind w:firstLineChars="200" w:firstLine="640"/>
        <w:rPr>
          <w:rFonts w:ascii="仿宋_GB2312" w:eastAsia="仿宋_GB2312"/>
          <w:sz w:val="32"/>
          <w:szCs w:val="32"/>
        </w:rPr>
      </w:pPr>
      <w:r w:rsidRPr="0092678E">
        <w:rPr>
          <w:rFonts w:ascii="仿宋_GB2312" w:eastAsia="仿宋_GB2312" w:hint="eastAsia"/>
          <w:sz w:val="32"/>
          <w:szCs w:val="32"/>
        </w:rPr>
        <w:t>抚育产生经济、社会、生态效益</w:t>
      </w:r>
    </w:p>
    <w:p w:rsidR="008A4F86" w:rsidRPr="0092678E" w:rsidRDefault="00224E10">
      <w:pPr>
        <w:spacing w:line="560" w:lineRule="exact"/>
        <w:ind w:firstLineChars="200" w:firstLine="643"/>
        <w:rPr>
          <w:rFonts w:ascii="仿宋_GB2312" w:eastAsia="仿宋_GB2312"/>
          <w:b/>
          <w:sz w:val="32"/>
          <w:szCs w:val="32"/>
        </w:rPr>
      </w:pPr>
      <w:r w:rsidRPr="0092678E">
        <w:rPr>
          <w:rFonts w:ascii="仿宋_GB2312" w:eastAsia="仿宋_GB2312" w:hint="eastAsia"/>
          <w:b/>
          <w:sz w:val="32"/>
          <w:szCs w:val="32"/>
        </w:rPr>
        <w:t>（1）经济效益</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森林抚育的经济效益主要是表现在通过调整林分结构，淘汰非目的树种，使目的树种扩大生存空间、加速生长，缩短工艺成熟龄；改善森林卫生状况，增强林木抵抗自然灾害的能力；改善林木品质，提高木材利用等级和木材总产量。开展森林抚育，有助于减少森林病虫害和森林火灾，提高森林的生产力和生态系统的稳定性及其功能。</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（2）社会效益</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森林抚育措施的实施将会增加林区群众的就业机会，增加农村收入，实现生态环境的改善与社会效益的和谐发展。</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（3）生态效益</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森林资源通过科学经营，才能形成高效优质的森林，取得良好的经济和生态效益。通过森林经营，林地将日趋肥沃，森林蓄积增长快，生态功能更健全，其他非木林产品也会日趋丰富，森林的碳汇、涵养水源、制造氧气、生物多样性等功能也会进一步提高。</w:t>
      </w:r>
    </w:p>
    <w:p w:rsidR="008A4F86" w:rsidRDefault="00224E10">
      <w:pPr>
        <w:spacing w:line="560" w:lineRule="exact"/>
        <w:ind w:firstLineChars="200" w:firstLine="643"/>
        <w:rPr>
          <w:rFonts w:ascii="仿宋_GB2312" w:eastAsia="仿宋_GB2312"/>
          <w:b/>
          <w:sz w:val="32"/>
          <w:szCs w:val="32"/>
        </w:rPr>
      </w:pPr>
      <w:r>
        <w:rPr>
          <w:rFonts w:ascii="仿宋_GB2312" w:eastAsia="仿宋_GB2312" w:hint="eastAsia"/>
          <w:b/>
          <w:sz w:val="32"/>
          <w:szCs w:val="32"/>
        </w:rPr>
        <w:t>3.满意度指标完成情况分析</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造林、森林抚育政策宣传和技术服务到位，营造林、森林抚育业主户满意。</w:t>
      </w:r>
    </w:p>
    <w:p w:rsidR="008A4F86" w:rsidRDefault="00224E10">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w:t>
      </w:r>
      <w:r>
        <w:rPr>
          <w:rFonts w:ascii="黑体" w:eastAsia="黑体" w:hAnsi="黑体" w:cs="黑体" w:hint="eastAsia"/>
          <w:color w:val="000000"/>
          <w:sz w:val="32"/>
          <w:szCs w:val="32"/>
        </w:rPr>
        <w:t>发现的主要问题和改进措施</w:t>
      </w:r>
    </w:p>
    <w:p w:rsidR="008A4F86" w:rsidRDefault="00224E10">
      <w:pPr>
        <w:spacing w:line="560" w:lineRule="exact"/>
        <w:ind w:firstLineChars="200" w:firstLine="643"/>
        <w:rPr>
          <w:rFonts w:ascii="仿宋_GB2312" w:eastAsia="仿宋_GB2312"/>
          <w:sz w:val="32"/>
          <w:szCs w:val="32"/>
        </w:rPr>
      </w:pPr>
      <w:r>
        <w:rPr>
          <w:rFonts w:ascii="楷体" w:eastAsia="楷体" w:hAnsi="楷体" w:hint="eastAsia"/>
          <w:b/>
          <w:sz w:val="32"/>
          <w:szCs w:val="32"/>
        </w:rPr>
        <w:t>（一）</w:t>
      </w:r>
      <w:r>
        <w:rPr>
          <w:rFonts w:ascii="仿宋_GB2312" w:eastAsia="仿宋_GB2312" w:hint="eastAsia"/>
          <w:sz w:val="32"/>
          <w:szCs w:val="32"/>
        </w:rPr>
        <w:t>政策宣传有待加强。</w:t>
      </w:r>
    </w:p>
    <w:p w:rsidR="008A4F86" w:rsidRDefault="00224E10">
      <w:pPr>
        <w:spacing w:line="560" w:lineRule="exact"/>
        <w:ind w:firstLineChars="200" w:firstLine="643"/>
        <w:rPr>
          <w:rFonts w:ascii="仿宋_GB2312" w:eastAsia="仿宋_GB2312"/>
          <w:sz w:val="32"/>
          <w:szCs w:val="32"/>
        </w:rPr>
      </w:pPr>
      <w:r>
        <w:rPr>
          <w:rFonts w:ascii="楷体" w:eastAsia="楷体" w:hAnsi="楷体" w:hint="eastAsia"/>
          <w:b/>
          <w:sz w:val="32"/>
          <w:szCs w:val="32"/>
        </w:rPr>
        <w:t>（二）</w:t>
      </w:r>
      <w:r>
        <w:rPr>
          <w:rFonts w:ascii="仿宋_GB2312" w:eastAsia="仿宋_GB2312" w:hint="eastAsia"/>
          <w:sz w:val="32"/>
          <w:szCs w:val="32"/>
        </w:rPr>
        <w:t>建议提高造林补助标准，调动林农积极性。</w:t>
      </w:r>
    </w:p>
    <w:p w:rsidR="008A4F86" w:rsidRDefault="00224E10">
      <w:pPr>
        <w:spacing w:line="560" w:lineRule="exact"/>
        <w:ind w:firstLineChars="200" w:firstLine="643"/>
        <w:rPr>
          <w:rFonts w:ascii="仿宋_GB2312" w:eastAsia="仿宋_GB2312"/>
          <w:sz w:val="32"/>
          <w:szCs w:val="32"/>
        </w:rPr>
      </w:pPr>
      <w:r>
        <w:rPr>
          <w:rFonts w:ascii="楷体" w:eastAsia="楷体" w:hAnsi="楷体" w:hint="eastAsia"/>
          <w:b/>
          <w:sz w:val="32"/>
          <w:szCs w:val="32"/>
        </w:rPr>
        <w:t>（三）</w:t>
      </w:r>
      <w:r>
        <w:rPr>
          <w:rFonts w:ascii="仿宋_GB2312" w:eastAsia="仿宋_GB2312" w:hint="eastAsia"/>
          <w:sz w:val="32"/>
          <w:szCs w:val="32"/>
        </w:rPr>
        <w:t>下达造林及森林抚育资金时可否按照年终实际完成造林面积下达。</w:t>
      </w:r>
    </w:p>
    <w:p w:rsidR="008A4F86" w:rsidRDefault="00224E10">
      <w:pPr>
        <w:spacing w:line="560" w:lineRule="exact"/>
        <w:ind w:firstLineChars="200" w:firstLine="643"/>
        <w:rPr>
          <w:rFonts w:ascii="仿宋_GB2312" w:eastAsia="仿宋_GB2312"/>
          <w:sz w:val="32"/>
          <w:szCs w:val="32"/>
        </w:rPr>
      </w:pPr>
      <w:r>
        <w:rPr>
          <w:rFonts w:ascii="楷体" w:eastAsia="楷体" w:hAnsi="楷体" w:hint="eastAsia"/>
          <w:b/>
          <w:sz w:val="32"/>
          <w:szCs w:val="32"/>
        </w:rPr>
        <w:t>（四）</w:t>
      </w:r>
      <w:r>
        <w:rPr>
          <w:rFonts w:ascii="仿宋_GB2312" w:eastAsia="仿宋_GB2312" w:hint="eastAsia"/>
          <w:sz w:val="32"/>
          <w:szCs w:val="32"/>
        </w:rPr>
        <w:t>因气候异常，三元区死亡松树现象大量出现，数量剧增，除治费用与上级实际补助经费缺口较大。</w:t>
      </w:r>
    </w:p>
    <w:p w:rsidR="008A4F86" w:rsidRDefault="00224E10">
      <w:pPr>
        <w:spacing w:line="560" w:lineRule="exact"/>
        <w:ind w:firstLineChars="200" w:firstLine="640"/>
        <w:rPr>
          <w:rFonts w:ascii="黑体" w:eastAsia="黑体" w:hAnsi="黑体" w:cs="黑体"/>
          <w:sz w:val="32"/>
          <w:szCs w:val="32"/>
        </w:rPr>
      </w:pPr>
      <w:r>
        <w:rPr>
          <w:rFonts w:ascii="黑体" w:eastAsia="黑体" w:hAnsi="黑体" w:cs="黑体" w:hint="eastAsia"/>
          <w:color w:val="000000"/>
          <w:sz w:val="32"/>
          <w:szCs w:val="32"/>
        </w:rPr>
        <w:t>五、绩效自评结果拟应用和公开情况</w:t>
      </w:r>
    </w:p>
    <w:p w:rsidR="008A4F86" w:rsidRDefault="00224E10">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8A4F86" w:rsidRDefault="00224E10">
      <w:pPr>
        <w:widowControl/>
        <w:kinsoku w:val="0"/>
        <w:autoSpaceDE w:val="0"/>
        <w:autoSpaceDN w:val="0"/>
        <w:adjustRightInd w:val="0"/>
        <w:snapToGrid w:val="0"/>
        <w:spacing w:line="560" w:lineRule="exact"/>
        <w:ind w:left="640"/>
        <w:jc w:val="left"/>
        <w:textAlignment w:val="baseline"/>
        <w:rPr>
          <w:rFonts w:ascii="黑体" w:eastAsia="黑体" w:hAnsi="黑体" w:cs="黑体"/>
          <w:sz w:val="32"/>
          <w:szCs w:val="32"/>
        </w:rPr>
      </w:pPr>
      <w:r>
        <w:rPr>
          <w:rFonts w:ascii="黑体" w:eastAsia="黑体" w:hAnsi="黑体" w:cs="黑体" w:hint="eastAsia"/>
          <w:color w:val="000000"/>
          <w:sz w:val="32"/>
          <w:szCs w:val="32"/>
        </w:rPr>
        <w:t>六、绩效自评工作开展情况</w:t>
      </w:r>
    </w:p>
    <w:p w:rsidR="008A4F86" w:rsidRDefault="00224E10">
      <w:pPr>
        <w:spacing w:line="560" w:lineRule="exact"/>
        <w:ind w:firstLineChars="200" w:firstLine="640"/>
        <w:rPr>
          <w:rFonts w:ascii="仿宋_GB2312" w:eastAsia="仿宋_GB2312"/>
          <w:sz w:val="32"/>
          <w:szCs w:val="32"/>
        </w:rPr>
      </w:pPr>
      <w:r>
        <w:rPr>
          <w:rFonts w:ascii="仿宋_GB2312" w:eastAsia="仿宋_GB2312"/>
          <w:sz w:val="32"/>
          <w:szCs w:val="32"/>
        </w:rPr>
        <w:t>绩效评价结果应用采取与预算资金安排相结合，与完善 制度规范管理相结合，作为改进管理以及下一年度预算申请、安排、分配的重要依据。绩效评价工作中发现的问题，</w:t>
      </w:r>
      <w:r w:rsidR="00603C0E">
        <w:rPr>
          <w:rFonts w:ascii="仿宋_GB2312" w:eastAsia="仿宋_GB2312"/>
          <w:sz w:val="32"/>
          <w:szCs w:val="32"/>
        </w:rPr>
        <w:t>提出</w:t>
      </w:r>
      <w:r>
        <w:rPr>
          <w:rFonts w:ascii="仿宋_GB2312" w:eastAsia="仿宋_GB2312"/>
          <w:sz w:val="32"/>
          <w:szCs w:val="32"/>
        </w:rPr>
        <w:t>整改建议，能在规定时间内反馈整改结果</w:t>
      </w:r>
      <w:r w:rsidR="00603C0E">
        <w:rPr>
          <w:rFonts w:ascii="仿宋_GB2312" w:eastAsia="仿宋_GB2312" w:hint="eastAsia"/>
          <w:sz w:val="32"/>
          <w:szCs w:val="32"/>
        </w:rPr>
        <w:t>，</w:t>
      </w:r>
      <w:r>
        <w:rPr>
          <w:rFonts w:ascii="仿宋_GB2312" w:eastAsia="仿宋_GB2312"/>
          <w:sz w:val="32"/>
          <w:szCs w:val="32"/>
        </w:rPr>
        <w:t>并在政府网站进行公开，接受社会公众的监督。</w:t>
      </w:r>
    </w:p>
    <w:p w:rsidR="008A4F86" w:rsidRPr="0092678E" w:rsidRDefault="00224E10">
      <w:pPr>
        <w:numPr>
          <w:ilvl w:val="0"/>
          <w:numId w:val="2"/>
        </w:numPr>
        <w:spacing w:line="560" w:lineRule="exact"/>
        <w:ind w:firstLineChars="200" w:firstLine="640"/>
        <w:rPr>
          <w:rFonts w:ascii="黑体" w:eastAsia="黑体" w:hAnsi="黑体"/>
          <w:sz w:val="32"/>
          <w:szCs w:val="32"/>
        </w:rPr>
      </w:pPr>
      <w:r w:rsidRPr="0092678E">
        <w:rPr>
          <w:rFonts w:ascii="黑体" w:eastAsia="黑体" w:hAnsi="黑体" w:hint="eastAsia"/>
          <w:sz w:val="32"/>
          <w:szCs w:val="32"/>
        </w:rPr>
        <w:t>其他需说明的问题</w:t>
      </w:r>
    </w:p>
    <w:p w:rsidR="008A4F86" w:rsidRPr="00603C0E" w:rsidRDefault="00224E10">
      <w:pPr>
        <w:spacing w:line="560" w:lineRule="exact"/>
        <w:ind w:firstLineChars="200" w:firstLine="640"/>
        <w:rPr>
          <w:rFonts w:ascii="仿宋_GB2312" w:eastAsia="仿宋_GB2312"/>
          <w:sz w:val="32"/>
          <w:szCs w:val="32"/>
        </w:rPr>
      </w:pPr>
      <w:r w:rsidRPr="00603C0E">
        <w:rPr>
          <w:rFonts w:ascii="仿宋_GB2312" w:eastAsia="仿宋_GB2312" w:hint="eastAsia"/>
          <w:sz w:val="32"/>
          <w:szCs w:val="32"/>
        </w:rPr>
        <w:t>无。</w:t>
      </w:r>
    </w:p>
    <w:p w:rsidR="0092678E" w:rsidRPr="0092678E" w:rsidRDefault="0092678E">
      <w:pPr>
        <w:spacing w:line="560" w:lineRule="exact"/>
        <w:ind w:firstLineChars="200" w:firstLine="640"/>
        <w:rPr>
          <w:rFonts w:ascii="黑体" w:eastAsia="黑体" w:hAnsi="黑体"/>
          <w:sz w:val="32"/>
          <w:szCs w:val="32"/>
        </w:rPr>
      </w:pPr>
    </w:p>
    <w:p w:rsidR="008A4F86" w:rsidRDefault="00224E10">
      <w:pPr>
        <w:spacing w:line="560" w:lineRule="exact"/>
        <w:ind w:firstLineChars="200" w:firstLine="640"/>
        <w:rPr>
          <w:rFonts w:ascii="仿宋_GB2312" w:eastAsia="仿宋_GB2312"/>
          <w:sz w:val="32"/>
          <w:szCs w:val="32"/>
        </w:rPr>
      </w:pPr>
      <w:r>
        <w:rPr>
          <w:rFonts w:ascii="仿宋_GB2312" w:eastAsia="仿宋_GB2312"/>
          <w:sz w:val="32"/>
          <w:szCs w:val="32"/>
        </w:rPr>
        <w:t>附件</w:t>
      </w: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2</w:t>
      </w:r>
      <w:r>
        <w:rPr>
          <w:rFonts w:ascii="仿宋_GB2312" w:eastAsia="仿宋_GB2312"/>
          <w:sz w:val="32"/>
          <w:szCs w:val="32"/>
        </w:rPr>
        <w:t>.林业草原改革发展资金区域绩效自评表</w:t>
      </w:r>
    </w:p>
    <w:p w:rsidR="008A4F86" w:rsidRDefault="008A4F86">
      <w:pPr>
        <w:spacing w:line="560" w:lineRule="exact"/>
        <w:ind w:firstLineChars="200" w:firstLine="640"/>
        <w:rPr>
          <w:rFonts w:ascii="仿宋_GB2312" w:eastAsia="仿宋_GB2312"/>
          <w:sz w:val="32"/>
          <w:szCs w:val="32"/>
        </w:rPr>
        <w:sectPr w:rsidR="008A4F86">
          <w:headerReference w:type="default" r:id="rId11"/>
          <w:pgSz w:w="11910" w:h="16840"/>
          <w:pgMar w:top="2662" w:right="1786" w:bottom="1208" w:left="1750" w:header="1620" w:footer="923" w:gutter="0"/>
          <w:pgNumType w:fmt="numberInDash"/>
          <w:cols w:space="720"/>
        </w:sectPr>
      </w:pPr>
    </w:p>
    <w:p w:rsidR="008A4F86" w:rsidRDefault="00224E10">
      <w:pPr>
        <w:pStyle w:val="a3"/>
        <w:spacing w:line="241" w:lineRule="auto"/>
        <w:rPr>
          <w:rFonts w:ascii="黑体" w:eastAsia="黑体" w:hAnsi="黑体"/>
          <w:sz w:val="32"/>
          <w:szCs w:val="32"/>
          <w:lang w:eastAsia="zh-CN"/>
        </w:rPr>
      </w:pPr>
      <w:r>
        <w:rPr>
          <w:rFonts w:ascii="黑体" w:eastAsia="黑体" w:hAnsi="黑体" w:hint="eastAsia"/>
          <w:sz w:val="32"/>
          <w:szCs w:val="32"/>
          <w:lang w:eastAsia="zh-CN"/>
        </w:rPr>
        <w:lastRenderedPageBreak/>
        <w:t>附件3</w:t>
      </w:r>
    </w:p>
    <w:tbl>
      <w:tblPr>
        <w:tblW w:w="14482" w:type="dxa"/>
        <w:jc w:val="center"/>
        <w:tblLook w:val="04A0"/>
      </w:tblPr>
      <w:tblGrid>
        <w:gridCol w:w="2234"/>
        <w:gridCol w:w="986"/>
        <w:gridCol w:w="986"/>
        <w:gridCol w:w="986"/>
        <w:gridCol w:w="916"/>
        <w:gridCol w:w="876"/>
        <w:gridCol w:w="876"/>
        <w:gridCol w:w="876"/>
        <w:gridCol w:w="1063"/>
        <w:gridCol w:w="916"/>
        <w:gridCol w:w="916"/>
        <w:gridCol w:w="916"/>
        <w:gridCol w:w="436"/>
        <w:gridCol w:w="781"/>
        <w:gridCol w:w="718"/>
      </w:tblGrid>
      <w:tr w:rsidR="008A4F86">
        <w:trPr>
          <w:jc w:val="center"/>
        </w:trPr>
        <w:tc>
          <w:tcPr>
            <w:tcW w:w="14482" w:type="dxa"/>
            <w:gridSpan w:val="15"/>
            <w:tcBorders>
              <w:top w:val="nil"/>
              <w:left w:val="nil"/>
              <w:bottom w:val="nil"/>
              <w:right w:val="nil"/>
            </w:tcBorders>
            <w:shd w:val="clear" w:color="auto" w:fill="auto"/>
            <w:noWrap/>
            <w:vAlign w:val="center"/>
          </w:tcPr>
          <w:p w:rsidR="008A4F86" w:rsidRDefault="00224E10">
            <w:pPr>
              <w:jc w:val="center"/>
              <w:textAlignment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napToGrid w:val="0"/>
                <w:color w:val="000000"/>
                <w:kern w:val="0"/>
                <w:sz w:val="44"/>
                <w:szCs w:val="44"/>
              </w:rPr>
              <w:t>2025年度中央财政林业专项资金执行情况表</w:t>
            </w:r>
          </w:p>
        </w:tc>
      </w:tr>
      <w:tr w:rsidR="008A4F86">
        <w:trPr>
          <w:jc w:val="center"/>
        </w:trPr>
        <w:tc>
          <w:tcPr>
            <w:tcW w:w="2234" w:type="dxa"/>
            <w:tcBorders>
              <w:top w:val="nil"/>
              <w:left w:val="nil"/>
              <w:bottom w:val="nil"/>
              <w:right w:val="nil"/>
            </w:tcBorders>
            <w:shd w:val="clear" w:color="auto" w:fill="auto"/>
            <w:noWrap/>
            <w:vAlign w:val="bottom"/>
          </w:tcPr>
          <w:p w:rsidR="008A4F86" w:rsidRDefault="008A4F86">
            <w:pPr>
              <w:rPr>
                <w:rFonts w:ascii="仿宋_GB2312" w:eastAsia="仿宋_GB2312" w:hAnsi="宋体" w:cs="仿宋_GB2312"/>
                <w:sz w:val="24"/>
              </w:rPr>
            </w:pPr>
          </w:p>
        </w:tc>
        <w:tc>
          <w:tcPr>
            <w:tcW w:w="0" w:type="auto"/>
            <w:tcBorders>
              <w:top w:val="nil"/>
              <w:left w:val="nil"/>
              <w:bottom w:val="nil"/>
              <w:right w:val="nil"/>
            </w:tcBorders>
            <w:shd w:val="clear" w:color="auto" w:fill="auto"/>
            <w:noWrap/>
            <w:vAlign w:val="bottom"/>
          </w:tcPr>
          <w:p w:rsidR="008A4F86" w:rsidRDefault="008A4F86">
            <w:pPr>
              <w:rPr>
                <w:rFonts w:ascii="仿宋_GB2312" w:eastAsia="仿宋_GB2312" w:hAnsi="宋体" w:cs="仿宋_GB2312"/>
                <w:sz w:val="24"/>
              </w:rPr>
            </w:pPr>
          </w:p>
        </w:tc>
        <w:tc>
          <w:tcPr>
            <w:tcW w:w="0" w:type="auto"/>
            <w:tcBorders>
              <w:top w:val="nil"/>
              <w:left w:val="nil"/>
              <w:bottom w:val="nil"/>
              <w:right w:val="nil"/>
            </w:tcBorders>
            <w:shd w:val="clear" w:color="auto" w:fill="auto"/>
            <w:noWrap/>
            <w:vAlign w:val="bottom"/>
          </w:tcPr>
          <w:p w:rsidR="008A4F86" w:rsidRDefault="008A4F86">
            <w:pPr>
              <w:rPr>
                <w:rFonts w:ascii="仿宋_GB2312" w:eastAsia="仿宋_GB2312" w:hAnsi="宋体" w:cs="仿宋_GB2312"/>
                <w:sz w:val="24"/>
              </w:rPr>
            </w:pPr>
          </w:p>
        </w:tc>
        <w:tc>
          <w:tcPr>
            <w:tcW w:w="0" w:type="auto"/>
            <w:tcBorders>
              <w:top w:val="nil"/>
              <w:left w:val="nil"/>
              <w:bottom w:val="nil"/>
              <w:right w:val="nil"/>
            </w:tcBorders>
            <w:shd w:val="clear" w:color="auto" w:fill="auto"/>
            <w:noWrap/>
            <w:vAlign w:val="bottom"/>
          </w:tcPr>
          <w:p w:rsidR="008A4F86" w:rsidRDefault="008A4F86">
            <w:pPr>
              <w:rPr>
                <w:rFonts w:ascii="仿宋_GB2312" w:eastAsia="仿宋_GB2312" w:hAnsi="宋体" w:cs="仿宋_GB2312"/>
                <w:sz w:val="24"/>
              </w:rPr>
            </w:pPr>
          </w:p>
        </w:tc>
        <w:tc>
          <w:tcPr>
            <w:tcW w:w="0" w:type="auto"/>
            <w:tcBorders>
              <w:top w:val="nil"/>
              <w:left w:val="nil"/>
              <w:bottom w:val="nil"/>
              <w:right w:val="nil"/>
            </w:tcBorders>
            <w:shd w:val="clear" w:color="auto" w:fill="auto"/>
            <w:noWrap/>
            <w:vAlign w:val="bottom"/>
          </w:tcPr>
          <w:p w:rsidR="008A4F86" w:rsidRDefault="008A4F86">
            <w:pPr>
              <w:rPr>
                <w:rFonts w:ascii="仿宋_GB2312" w:eastAsia="仿宋_GB2312" w:hAnsi="宋体" w:cs="仿宋_GB2312"/>
                <w:sz w:val="24"/>
              </w:rPr>
            </w:pPr>
          </w:p>
        </w:tc>
        <w:tc>
          <w:tcPr>
            <w:tcW w:w="0" w:type="auto"/>
            <w:tcBorders>
              <w:top w:val="nil"/>
              <w:left w:val="nil"/>
              <w:bottom w:val="nil"/>
              <w:right w:val="nil"/>
            </w:tcBorders>
            <w:shd w:val="clear" w:color="auto" w:fill="auto"/>
            <w:vAlign w:val="center"/>
          </w:tcPr>
          <w:p w:rsidR="008A4F86" w:rsidRDefault="008A4F86">
            <w:pPr>
              <w:jc w:val="center"/>
              <w:rPr>
                <w:rFonts w:ascii="宋体" w:hAnsi="宋体" w:cs="宋体"/>
                <w:sz w:val="20"/>
                <w:szCs w:val="20"/>
              </w:rPr>
            </w:pPr>
          </w:p>
        </w:tc>
        <w:tc>
          <w:tcPr>
            <w:tcW w:w="0" w:type="auto"/>
            <w:tcBorders>
              <w:top w:val="nil"/>
              <w:left w:val="nil"/>
              <w:bottom w:val="nil"/>
              <w:right w:val="nil"/>
            </w:tcBorders>
            <w:shd w:val="clear" w:color="auto" w:fill="auto"/>
            <w:vAlign w:val="center"/>
          </w:tcPr>
          <w:p w:rsidR="008A4F86" w:rsidRDefault="008A4F86">
            <w:pPr>
              <w:jc w:val="center"/>
              <w:rPr>
                <w:rFonts w:ascii="宋体" w:hAnsi="宋体" w:cs="宋体"/>
                <w:sz w:val="20"/>
                <w:szCs w:val="20"/>
              </w:rPr>
            </w:pPr>
          </w:p>
        </w:tc>
        <w:tc>
          <w:tcPr>
            <w:tcW w:w="0" w:type="auto"/>
            <w:tcBorders>
              <w:top w:val="nil"/>
              <w:left w:val="nil"/>
              <w:bottom w:val="nil"/>
              <w:right w:val="nil"/>
            </w:tcBorders>
            <w:shd w:val="clear" w:color="auto" w:fill="auto"/>
            <w:vAlign w:val="center"/>
          </w:tcPr>
          <w:p w:rsidR="008A4F86" w:rsidRDefault="008A4F86">
            <w:pPr>
              <w:jc w:val="center"/>
              <w:rPr>
                <w:rFonts w:ascii="宋体" w:hAnsi="宋体" w:cs="宋体"/>
                <w:sz w:val="20"/>
                <w:szCs w:val="20"/>
              </w:rPr>
            </w:pPr>
          </w:p>
        </w:tc>
        <w:tc>
          <w:tcPr>
            <w:tcW w:w="0" w:type="auto"/>
            <w:tcBorders>
              <w:top w:val="nil"/>
              <w:left w:val="nil"/>
              <w:bottom w:val="nil"/>
              <w:right w:val="nil"/>
            </w:tcBorders>
            <w:shd w:val="clear" w:color="auto" w:fill="auto"/>
            <w:vAlign w:val="center"/>
          </w:tcPr>
          <w:p w:rsidR="008A4F86" w:rsidRDefault="008A4F86">
            <w:pPr>
              <w:jc w:val="center"/>
              <w:rPr>
                <w:rFonts w:ascii="宋体" w:hAnsi="宋体" w:cs="宋体"/>
                <w:sz w:val="20"/>
                <w:szCs w:val="20"/>
              </w:rPr>
            </w:pPr>
          </w:p>
        </w:tc>
        <w:tc>
          <w:tcPr>
            <w:tcW w:w="0" w:type="auto"/>
            <w:tcBorders>
              <w:top w:val="nil"/>
              <w:left w:val="nil"/>
              <w:bottom w:val="nil"/>
              <w:right w:val="nil"/>
            </w:tcBorders>
            <w:shd w:val="clear" w:color="auto" w:fill="auto"/>
            <w:vAlign w:val="center"/>
          </w:tcPr>
          <w:p w:rsidR="008A4F86" w:rsidRDefault="008A4F86">
            <w:pPr>
              <w:jc w:val="center"/>
              <w:rPr>
                <w:rFonts w:ascii="宋体" w:hAnsi="宋体" w:cs="宋体"/>
                <w:sz w:val="20"/>
                <w:szCs w:val="20"/>
              </w:rPr>
            </w:pPr>
          </w:p>
        </w:tc>
        <w:tc>
          <w:tcPr>
            <w:tcW w:w="0" w:type="auto"/>
            <w:tcBorders>
              <w:top w:val="nil"/>
              <w:left w:val="nil"/>
              <w:bottom w:val="nil"/>
              <w:right w:val="nil"/>
            </w:tcBorders>
            <w:shd w:val="clear" w:color="auto" w:fill="auto"/>
            <w:vAlign w:val="center"/>
          </w:tcPr>
          <w:p w:rsidR="008A4F86" w:rsidRDefault="008A4F86">
            <w:pPr>
              <w:jc w:val="center"/>
              <w:rPr>
                <w:rFonts w:ascii="宋体" w:hAnsi="宋体" w:cs="宋体"/>
                <w:sz w:val="20"/>
                <w:szCs w:val="20"/>
              </w:rPr>
            </w:pPr>
          </w:p>
        </w:tc>
        <w:tc>
          <w:tcPr>
            <w:tcW w:w="0" w:type="auto"/>
            <w:tcBorders>
              <w:top w:val="nil"/>
              <w:left w:val="nil"/>
              <w:bottom w:val="nil"/>
              <w:right w:val="nil"/>
            </w:tcBorders>
            <w:shd w:val="clear" w:color="auto" w:fill="auto"/>
            <w:vAlign w:val="center"/>
          </w:tcPr>
          <w:p w:rsidR="008A4F86" w:rsidRDefault="008A4F86">
            <w:pPr>
              <w:jc w:val="center"/>
              <w:rPr>
                <w:rFonts w:ascii="宋体" w:hAnsi="宋体" w:cs="宋体"/>
                <w:sz w:val="20"/>
                <w:szCs w:val="20"/>
              </w:rPr>
            </w:pPr>
          </w:p>
        </w:tc>
        <w:tc>
          <w:tcPr>
            <w:tcW w:w="0" w:type="auto"/>
            <w:tcBorders>
              <w:top w:val="nil"/>
              <w:left w:val="nil"/>
              <w:bottom w:val="nil"/>
              <w:right w:val="nil"/>
            </w:tcBorders>
            <w:shd w:val="clear" w:color="auto" w:fill="auto"/>
            <w:vAlign w:val="center"/>
          </w:tcPr>
          <w:p w:rsidR="008A4F86" w:rsidRDefault="008A4F86">
            <w:pPr>
              <w:jc w:val="center"/>
              <w:rPr>
                <w:rFonts w:ascii="宋体" w:hAnsi="宋体" w:cs="宋体"/>
                <w:sz w:val="20"/>
                <w:szCs w:val="20"/>
              </w:rPr>
            </w:pPr>
          </w:p>
        </w:tc>
        <w:tc>
          <w:tcPr>
            <w:tcW w:w="1499" w:type="dxa"/>
            <w:gridSpan w:val="2"/>
            <w:tcBorders>
              <w:top w:val="nil"/>
              <w:left w:val="nil"/>
              <w:bottom w:val="nil"/>
              <w:right w:val="nil"/>
            </w:tcBorders>
            <w:shd w:val="clear" w:color="auto" w:fill="auto"/>
            <w:vAlign w:val="center"/>
          </w:tcPr>
          <w:p w:rsidR="008A4F86" w:rsidRDefault="00224E10">
            <w:pPr>
              <w:jc w:val="center"/>
              <w:textAlignment w:val="center"/>
              <w:rPr>
                <w:rFonts w:ascii="宋体" w:hAnsi="宋体" w:cs="宋体"/>
                <w:b/>
                <w:bCs/>
                <w:sz w:val="20"/>
                <w:szCs w:val="20"/>
              </w:rPr>
            </w:pPr>
            <w:r>
              <w:rPr>
                <w:rFonts w:ascii="宋体" w:hAnsi="宋体" w:cs="宋体" w:hint="eastAsia"/>
                <w:b/>
                <w:bCs/>
                <w:snapToGrid w:val="0"/>
                <w:color w:val="000000"/>
                <w:kern w:val="0"/>
                <w:sz w:val="20"/>
                <w:szCs w:val="20"/>
              </w:rPr>
              <w:t>单位：万元</w:t>
            </w:r>
          </w:p>
        </w:tc>
      </w:tr>
      <w:tr w:rsidR="008A4F86">
        <w:trPr>
          <w:jc w:val="center"/>
        </w:trPr>
        <w:tc>
          <w:tcPr>
            <w:tcW w:w="2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b/>
                <w:bCs/>
                <w:sz w:val="20"/>
                <w:szCs w:val="20"/>
              </w:rPr>
            </w:pPr>
            <w:r>
              <w:rPr>
                <w:rFonts w:ascii="宋体" w:hAnsi="宋体" w:cs="宋体" w:hint="eastAsia"/>
                <w:b/>
                <w:bCs/>
                <w:snapToGrid w:val="0"/>
                <w:color w:val="000000"/>
                <w:kern w:val="0"/>
                <w:sz w:val="20"/>
                <w:szCs w:val="20"/>
              </w:rPr>
              <w:t>项目名称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4"/>
              </w:rPr>
            </w:pPr>
            <w:r>
              <w:rPr>
                <w:rFonts w:ascii="宋体" w:hAnsi="宋体" w:cs="宋体" w:hint="eastAsia"/>
                <w:snapToGrid w:val="0"/>
                <w:color w:val="000000"/>
                <w:kern w:val="0"/>
                <w:sz w:val="24"/>
              </w:rPr>
              <w:t>中央资金（2025年度）</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4"/>
              </w:rPr>
            </w:pPr>
            <w:r>
              <w:rPr>
                <w:rFonts w:ascii="宋体" w:hAnsi="宋体" w:cs="宋体" w:hint="eastAsia"/>
                <w:snapToGrid w:val="0"/>
                <w:color w:val="000000"/>
                <w:kern w:val="0"/>
                <w:sz w:val="24"/>
              </w:rPr>
              <w:t>省级资金（2025年度）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4"/>
              </w:rPr>
            </w:pPr>
            <w:r>
              <w:rPr>
                <w:rFonts w:ascii="宋体" w:hAnsi="宋体" w:cs="宋体" w:hint="eastAsia"/>
                <w:snapToGrid w:val="0"/>
                <w:color w:val="000000"/>
                <w:kern w:val="0"/>
                <w:sz w:val="24"/>
              </w:rPr>
              <w:t>结余结转资金</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4"/>
              </w:rPr>
            </w:pPr>
            <w:r>
              <w:rPr>
                <w:rFonts w:ascii="宋体" w:hAnsi="宋体" w:cs="宋体" w:hint="eastAsia"/>
                <w:snapToGrid w:val="0"/>
                <w:color w:val="000000"/>
                <w:kern w:val="0"/>
                <w:sz w:val="24"/>
              </w:rPr>
              <w:t>其他资金</w:t>
            </w:r>
          </w:p>
        </w:tc>
      </w:tr>
      <w:tr w:rsidR="008A4F86">
        <w:trPr>
          <w:jc w:val="center"/>
        </w:trPr>
        <w:tc>
          <w:tcPr>
            <w:tcW w:w="2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b/>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省级安排下达金额①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已到位</w:t>
            </w:r>
            <w:r>
              <w:rPr>
                <w:rFonts w:ascii="宋体" w:hAnsi="宋体" w:cs="宋体" w:hint="eastAsia"/>
                <w:snapToGrid w:val="0"/>
                <w:color w:val="000000"/>
                <w:kern w:val="0"/>
                <w:sz w:val="22"/>
                <w:szCs w:val="22"/>
              </w:rPr>
              <w:br/>
              <w:t>金额②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实际支出金额③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实际支出率④=③/①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省级安排下达金额①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已到位</w:t>
            </w:r>
            <w:r>
              <w:rPr>
                <w:rFonts w:ascii="宋体" w:hAnsi="宋体" w:cs="宋体" w:hint="eastAsia"/>
                <w:snapToGrid w:val="0"/>
                <w:color w:val="000000"/>
                <w:kern w:val="0"/>
                <w:sz w:val="22"/>
                <w:szCs w:val="22"/>
              </w:rPr>
              <w:br/>
              <w:t>金额②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实际支出金额③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实际支出率④=③/①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安排</w:t>
            </w:r>
            <w:r>
              <w:rPr>
                <w:rFonts w:ascii="宋体" w:hAnsi="宋体" w:cs="宋体" w:hint="eastAsia"/>
                <w:snapToGrid w:val="0"/>
                <w:color w:val="000000"/>
                <w:kern w:val="0"/>
                <w:sz w:val="22"/>
                <w:szCs w:val="22"/>
              </w:rPr>
              <w:br/>
              <w:t>金额①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实际支出金额②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实际支出率③=②/①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安排</w:t>
            </w:r>
            <w:r>
              <w:rPr>
                <w:rFonts w:ascii="宋体" w:hAnsi="宋体" w:cs="宋体" w:hint="eastAsia"/>
                <w:snapToGrid w:val="0"/>
                <w:color w:val="000000"/>
                <w:kern w:val="0"/>
                <w:sz w:val="22"/>
                <w:szCs w:val="22"/>
              </w:rPr>
              <w:br/>
              <w:t>金额①</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实际支出金额②</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实际支出率③=②/①</w:t>
            </w: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b/>
                <w:bCs/>
                <w:sz w:val="28"/>
                <w:szCs w:val="28"/>
              </w:rPr>
            </w:pPr>
            <w:r>
              <w:rPr>
                <w:rFonts w:ascii="宋体" w:hAnsi="宋体" w:cs="宋体" w:hint="eastAsia"/>
                <w:b/>
                <w:bCs/>
                <w:snapToGrid w:val="0"/>
                <w:color w:val="000000"/>
                <w:kern w:val="0"/>
                <w:sz w:val="28"/>
                <w:szCs w:val="28"/>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2022.03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2022.03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1748.36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86.47%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251.01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251.01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251.01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1946.91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1946.91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b/>
                <w:bCs/>
                <w:sz w:val="22"/>
                <w:szCs w:val="22"/>
              </w:rPr>
            </w:pPr>
            <w:r>
              <w:rPr>
                <w:rFonts w:ascii="宋体" w:hAnsi="宋体" w:cs="宋体" w:hint="eastAsia"/>
                <w:b/>
                <w:bCs/>
                <w:snapToGrid w:val="0"/>
                <w:color w:val="000000"/>
                <w:kern w:val="0"/>
                <w:sz w:val="22"/>
                <w:szCs w:val="22"/>
              </w:rPr>
              <w:t>1.中央财政林业草原生态恢复保护资金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1374.43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1374.43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1198.76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87.22%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958.51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958.51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国家公园支出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国家级自然保护区补助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湿地保护修复补助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国家重点动植物保护支出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古树名木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森林生态效益补偿补助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307.89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307.89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307.89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天然商品林停伐管护补助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444.67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444.67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444.67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595.91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595.91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森林修复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137.2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2"/>
                <w:szCs w:val="22"/>
              </w:rPr>
            </w:pPr>
            <w:r>
              <w:rPr>
                <w:rFonts w:ascii="宋体" w:hAnsi="宋体" w:cs="宋体" w:hint="eastAsia"/>
                <w:snapToGrid w:val="0"/>
                <w:color w:val="000000"/>
                <w:kern w:val="0"/>
                <w:sz w:val="22"/>
                <w:szCs w:val="22"/>
              </w:rPr>
              <w:lastRenderedPageBreak/>
              <w:t>森林可持续经营试点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175.67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175.67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北斗应用服务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国有林场保运转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309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362.6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362.6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b/>
                <w:bCs/>
                <w:sz w:val="22"/>
                <w:szCs w:val="22"/>
              </w:rPr>
            </w:pPr>
            <w:r>
              <w:rPr>
                <w:rFonts w:ascii="宋体" w:hAnsi="宋体" w:cs="宋体" w:hint="eastAsia"/>
                <w:b/>
                <w:bCs/>
                <w:snapToGrid w:val="0"/>
                <w:color w:val="000000"/>
                <w:kern w:val="0"/>
                <w:sz w:val="22"/>
                <w:szCs w:val="22"/>
              </w:rPr>
              <w:t>2.中央财政林业草原改革发展资金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647.6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647.6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549.6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84.87%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251.01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251.01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251.01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988.4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988.4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造林补助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460.6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460.6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376.6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81.76%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113.01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113.01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113.01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864.1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864.1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森林质量提升补助（森林可持续经营试点补助）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油茶发展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森林质量提升补助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森林防火补助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林业有害生物防治补助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林业有害生物防治补助（互花米草）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林草科技推广示范补助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仿宋_GB2312" w:eastAsia="仿宋_GB2312" w:hAnsi="宋体" w:cs="仿宋_GB2312"/>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林木良种培育补助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r w:rsidR="008A4F86">
        <w:trPr>
          <w:jc w:val="center"/>
        </w:trPr>
        <w:tc>
          <w:tcPr>
            <w:tcW w:w="2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林草湿荒综合监测</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14</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14</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0</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0.00%</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13</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2"/>
                <w:szCs w:val="22"/>
              </w:rPr>
            </w:pPr>
            <w:r>
              <w:rPr>
                <w:rFonts w:ascii="宋体" w:hAnsi="宋体" w:cs="宋体" w:hint="eastAsia"/>
                <w:snapToGrid w:val="0"/>
                <w:color w:val="000000"/>
                <w:kern w:val="0"/>
                <w:sz w:val="22"/>
                <w:szCs w:val="22"/>
              </w:rPr>
              <w:t>13</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100.00%</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r>
    </w:tbl>
    <w:p w:rsidR="008A4F86" w:rsidRDefault="008A4F86">
      <w:pPr>
        <w:pStyle w:val="a3"/>
        <w:spacing w:line="241" w:lineRule="auto"/>
      </w:pPr>
    </w:p>
    <w:p w:rsidR="008A4F86" w:rsidRDefault="008A4F86">
      <w:pPr>
        <w:pStyle w:val="a3"/>
        <w:spacing w:line="241" w:lineRule="auto"/>
      </w:pPr>
    </w:p>
    <w:p w:rsidR="008A4F86" w:rsidRDefault="008A4F86">
      <w:pPr>
        <w:pStyle w:val="a3"/>
        <w:spacing w:line="241" w:lineRule="auto"/>
      </w:pPr>
    </w:p>
    <w:p w:rsidR="008A4F86" w:rsidRDefault="008A4F86">
      <w:pPr>
        <w:pStyle w:val="a3"/>
        <w:spacing w:line="241" w:lineRule="auto"/>
      </w:pPr>
    </w:p>
    <w:p w:rsidR="008A4F86" w:rsidRDefault="008A4F86">
      <w:pPr>
        <w:pStyle w:val="a3"/>
        <w:spacing w:line="330" w:lineRule="auto"/>
      </w:pPr>
    </w:p>
    <w:p w:rsidR="008A4F86" w:rsidRDefault="008A4F86">
      <w:pPr>
        <w:pStyle w:val="a3"/>
        <w:spacing w:line="331" w:lineRule="auto"/>
      </w:pPr>
    </w:p>
    <w:p w:rsidR="008A4F86" w:rsidRDefault="008A4F86">
      <w:pPr>
        <w:pStyle w:val="a3"/>
        <w:spacing w:line="274" w:lineRule="auto"/>
      </w:pPr>
    </w:p>
    <w:p w:rsidR="008A4F86" w:rsidRDefault="008A4F86">
      <w:pPr>
        <w:pStyle w:val="a3"/>
        <w:spacing w:line="274" w:lineRule="auto"/>
      </w:pPr>
    </w:p>
    <w:p w:rsidR="008A4F86" w:rsidRDefault="008A4F86">
      <w:pPr>
        <w:pStyle w:val="a3"/>
        <w:spacing w:line="282" w:lineRule="auto"/>
      </w:pPr>
    </w:p>
    <w:tbl>
      <w:tblPr>
        <w:tblW w:w="4997" w:type="pct"/>
        <w:jc w:val="center"/>
        <w:tblLook w:val="04A0"/>
      </w:tblPr>
      <w:tblGrid>
        <w:gridCol w:w="1416"/>
        <w:gridCol w:w="751"/>
        <w:gridCol w:w="1293"/>
        <w:gridCol w:w="2483"/>
        <w:gridCol w:w="2053"/>
        <w:gridCol w:w="1416"/>
        <w:gridCol w:w="1145"/>
        <w:gridCol w:w="2406"/>
      </w:tblGrid>
      <w:tr w:rsidR="008A4F86">
        <w:trPr>
          <w:jc w:val="center"/>
        </w:trPr>
        <w:tc>
          <w:tcPr>
            <w:tcW w:w="472" w:type="pct"/>
            <w:tcBorders>
              <w:top w:val="nil"/>
              <w:left w:val="nil"/>
              <w:bottom w:val="nil"/>
              <w:right w:val="nil"/>
            </w:tcBorders>
            <w:shd w:val="clear" w:color="auto" w:fill="auto"/>
            <w:noWrap/>
            <w:vAlign w:val="center"/>
          </w:tcPr>
          <w:p w:rsidR="008A4F86" w:rsidRDefault="00224E10">
            <w:pPr>
              <w:textAlignment w:val="center"/>
              <w:rPr>
                <w:rFonts w:ascii="黑体" w:eastAsia="黑体" w:hAnsi="宋体" w:cs="黑体"/>
                <w:sz w:val="32"/>
                <w:szCs w:val="32"/>
              </w:rPr>
            </w:pPr>
            <w:r>
              <w:rPr>
                <w:rFonts w:ascii="黑体" w:eastAsia="黑体" w:hAnsi="宋体" w:cs="黑体" w:hint="eastAsia"/>
                <w:snapToGrid w:val="0"/>
                <w:color w:val="000000"/>
                <w:kern w:val="0"/>
                <w:sz w:val="32"/>
                <w:szCs w:val="32"/>
              </w:rPr>
              <w:t>附件4-1</w:t>
            </w:r>
          </w:p>
        </w:tc>
        <w:tc>
          <w:tcPr>
            <w:tcW w:w="356" w:type="pct"/>
            <w:tcBorders>
              <w:top w:val="nil"/>
              <w:left w:val="nil"/>
              <w:bottom w:val="nil"/>
              <w:right w:val="nil"/>
            </w:tcBorders>
            <w:shd w:val="clear" w:color="auto" w:fill="auto"/>
            <w:noWrap/>
            <w:vAlign w:val="center"/>
          </w:tcPr>
          <w:p w:rsidR="008A4F86" w:rsidRDefault="008A4F86">
            <w:pPr>
              <w:rPr>
                <w:rFonts w:ascii="黑体" w:eastAsia="黑体" w:hAnsi="宋体" w:cs="黑体"/>
                <w:sz w:val="32"/>
                <w:szCs w:val="32"/>
              </w:rPr>
            </w:pPr>
          </w:p>
        </w:tc>
        <w:tc>
          <w:tcPr>
            <w:tcW w:w="565" w:type="pct"/>
            <w:tcBorders>
              <w:top w:val="nil"/>
              <w:left w:val="nil"/>
              <w:bottom w:val="nil"/>
              <w:right w:val="nil"/>
            </w:tcBorders>
            <w:shd w:val="clear" w:color="auto" w:fill="auto"/>
            <w:noWrap/>
            <w:vAlign w:val="center"/>
          </w:tcPr>
          <w:p w:rsidR="008A4F86" w:rsidRDefault="008A4F86">
            <w:pPr>
              <w:rPr>
                <w:rFonts w:ascii="黑体" w:eastAsia="黑体" w:hAnsi="宋体" w:cs="黑体"/>
                <w:sz w:val="32"/>
                <w:szCs w:val="32"/>
              </w:rPr>
            </w:pPr>
          </w:p>
        </w:tc>
        <w:tc>
          <w:tcPr>
            <w:tcW w:w="878" w:type="pct"/>
            <w:tcBorders>
              <w:top w:val="nil"/>
              <w:left w:val="nil"/>
              <w:bottom w:val="nil"/>
              <w:right w:val="nil"/>
            </w:tcBorders>
            <w:shd w:val="clear" w:color="auto" w:fill="auto"/>
            <w:noWrap/>
            <w:vAlign w:val="center"/>
          </w:tcPr>
          <w:p w:rsidR="008A4F86" w:rsidRDefault="008A4F86">
            <w:pPr>
              <w:rPr>
                <w:rFonts w:ascii="黑体" w:eastAsia="黑体" w:hAnsi="宋体" w:cs="黑体"/>
                <w:sz w:val="32"/>
                <w:szCs w:val="32"/>
              </w:rPr>
            </w:pPr>
          </w:p>
        </w:tc>
        <w:tc>
          <w:tcPr>
            <w:tcW w:w="725" w:type="pct"/>
            <w:tcBorders>
              <w:top w:val="nil"/>
              <w:left w:val="nil"/>
              <w:bottom w:val="nil"/>
              <w:right w:val="nil"/>
            </w:tcBorders>
            <w:shd w:val="clear" w:color="auto" w:fill="auto"/>
            <w:noWrap/>
            <w:vAlign w:val="center"/>
          </w:tcPr>
          <w:p w:rsidR="008A4F86" w:rsidRDefault="008A4F86">
            <w:pPr>
              <w:rPr>
                <w:rFonts w:ascii="黑体" w:eastAsia="黑体" w:hAnsi="宋体" w:cs="黑体"/>
                <w:sz w:val="32"/>
                <w:szCs w:val="32"/>
              </w:rPr>
            </w:pPr>
          </w:p>
        </w:tc>
        <w:tc>
          <w:tcPr>
            <w:tcW w:w="501" w:type="pct"/>
            <w:tcBorders>
              <w:top w:val="nil"/>
              <w:left w:val="nil"/>
              <w:bottom w:val="nil"/>
              <w:right w:val="nil"/>
            </w:tcBorders>
            <w:shd w:val="clear" w:color="auto" w:fill="auto"/>
            <w:noWrap/>
            <w:vAlign w:val="center"/>
          </w:tcPr>
          <w:p w:rsidR="008A4F86" w:rsidRDefault="008A4F86">
            <w:pPr>
              <w:rPr>
                <w:rFonts w:ascii="黑体" w:eastAsia="黑体" w:hAnsi="宋体" w:cs="黑体"/>
                <w:sz w:val="32"/>
                <w:szCs w:val="32"/>
              </w:rPr>
            </w:pPr>
          </w:p>
        </w:tc>
        <w:tc>
          <w:tcPr>
            <w:tcW w:w="508" w:type="pct"/>
            <w:tcBorders>
              <w:top w:val="nil"/>
              <w:left w:val="nil"/>
              <w:bottom w:val="nil"/>
              <w:right w:val="nil"/>
            </w:tcBorders>
            <w:shd w:val="clear" w:color="auto" w:fill="auto"/>
            <w:noWrap/>
            <w:vAlign w:val="center"/>
          </w:tcPr>
          <w:p w:rsidR="008A4F86" w:rsidRDefault="008A4F86">
            <w:pPr>
              <w:rPr>
                <w:rFonts w:ascii="黑体" w:eastAsia="黑体" w:hAnsi="宋体" w:cs="黑体"/>
                <w:sz w:val="32"/>
                <w:szCs w:val="32"/>
              </w:rPr>
            </w:pPr>
          </w:p>
        </w:tc>
        <w:tc>
          <w:tcPr>
            <w:tcW w:w="992" w:type="pct"/>
            <w:tcBorders>
              <w:top w:val="nil"/>
              <w:left w:val="nil"/>
              <w:bottom w:val="nil"/>
              <w:right w:val="nil"/>
            </w:tcBorders>
            <w:shd w:val="clear" w:color="auto" w:fill="auto"/>
            <w:noWrap/>
            <w:vAlign w:val="center"/>
          </w:tcPr>
          <w:p w:rsidR="008A4F86" w:rsidRDefault="008A4F86">
            <w:pPr>
              <w:rPr>
                <w:rFonts w:ascii="黑体" w:eastAsia="黑体" w:hAnsi="宋体" w:cs="黑体"/>
                <w:sz w:val="32"/>
                <w:szCs w:val="32"/>
              </w:rPr>
            </w:pPr>
          </w:p>
        </w:tc>
      </w:tr>
      <w:tr w:rsidR="008A4F86">
        <w:trPr>
          <w:jc w:val="center"/>
        </w:trPr>
        <w:tc>
          <w:tcPr>
            <w:tcW w:w="5000" w:type="pct"/>
            <w:gridSpan w:val="8"/>
            <w:tcBorders>
              <w:top w:val="nil"/>
              <w:left w:val="nil"/>
              <w:bottom w:val="nil"/>
              <w:right w:val="nil"/>
            </w:tcBorders>
            <w:shd w:val="clear" w:color="auto" w:fill="auto"/>
            <w:noWrap/>
            <w:vAlign w:val="center"/>
          </w:tcPr>
          <w:p w:rsidR="008A4F86" w:rsidRDefault="00224E10">
            <w:pPr>
              <w:jc w:val="center"/>
              <w:textAlignment w:val="center"/>
              <w:rPr>
                <w:rFonts w:ascii="方正小标宋简体" w:eastAsia="方正小标宋简体" w:hAnsi="方正小标宋_GBK" w:cs="方正小标宋_GBK" w:hint="eastAsia"/>
                <w:sz w:val="40"/>
                <w:szCs w:val="40"/>
              </w:rPr>
            </w:pPr>
            <w:r>
              <w:rPr>
                <w:rFonts w:ascii="方正小标宋简体" w:eastAsia="方正小标宋简体" w:hAnsi="方正小标宋_GBK" w:cs="方正小标宋_GBK" w:hint="eastAsia"/>
                <w:snapToGrid w:val="0"/>
                <w:color w:val="000000"/>
                <w:kern w:val="0"/>
                <w:sz w:val="40"/>
                <w:szCs w:val="40"/>
              </w:rPr>
              <w:t>林业草原生态保护恢复资金区域绩效自评表</w:t>
            </w:r>
          </w:p>
        </w:tc>
      </w:tr>
      <w:tr w:rsidR="008A4F86">
        <w:trPr>
          <w:jc w:val="center"/>
        </w:trPr>
        <w:tc>
          <w:tcPr>
            <w:tcW w:w="5000" w:type="pct"/>
            <w:gridSpan w:val="8"/>
            <w:tcBorders>
              <w:top w:val="nil"/>
              <w:left w:val="nil"/>
              <w:bottom w:val="nil"/>
              <w:right w:val="nil"/>
            </w:tcBorders>
            <w:shd w:val="clear" w:color="auto" w:fill="auto"/>
            <w:noWrap/>
            <w:vAlign w:val="center"/>
          </w:tcPr>
          <w:p w:rsidR="008A4F86" w:rsidRDefault="00224E10">
            <w:pPr>
              <w:jc w:val="center"/>
              <w:textAlignment w:val="center"/>
              <w:rPr>
                <w:rFonts w:ascii="宋体" w:hAnsi="宋体" w:cs="宋体"/>
                <w:sz w:val="20"/>
                <w:szCs w:val="20"/>
              </w:rPr>
            </w:pPr>
            <w:r>
              <w:rPr>
                <w:rStyle w:val="font41"/>
                <w:rFonts w:hint="default"/>
                <w:snapToGrid w:val="0"/>
              </w:rPr>
              <w:t>（2025</w:t>
            </w:r>
            <w:r>
              <w:rPr>
                <w:rStyle w:val="font51"/>
                <w:rFonts w:hint="default"/>
              </w:rPr>
              <w:t>年度）</w:t>
            </w:r>
          </w:p>
        </w:tc>
      </w:tr>
      <w:tr w:rsidR="008A4F86">
        <w:trPr>
          <w:jc w:val="center"/>
        </w:trPr>
        <w:tc>
          <w:tcPr>
            <w:tcW w:w="139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转移支付（项目）名称</w:t>
            </w:r>
          </w:p>
        </w:tc>
        <w:tc>
          <w:tcPr>
            <w:tcW w:w="3606"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林业草原生态保护恢复资金</w:t>
            </w:r>
          </w:p>
        </w:tc>
      </w:tr>
      <w:tr w:rsidR="008A4F86">
        <w:trPr>
          <w:jc w:val="center"/>
        </w:trPr>
        <w:tc>
          <w:tcPr>
            <w:tcW w:w="139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中央主管部门</w:t>
            </w:r>
          </w:p>
        </w:tc>
        <w:tc>
          <w:tcPr>
            <w:tcW w:w="3606"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财政部、国家林业和草原局</w:t>
            </w:r>
          </w:p>
        </w:tc>
      </w:tr>
      <w:tr w:rsidR="008A4F86">
        <w:trPr>
          <w:jc w:val="center"/>
        </w:trPr>
        <w:tc>
          <w:tcPr>
            <w:tcW w:w="139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地方主管部门</w:t>
            </w:r>
          </w:p>
        </w:tc>
        <w:tc>
          <w:tcPr>
            <w:tcW w:w="1604" w:type="pct"/>
            <w:gridSpan w:val="2"/>
            <w:tcBorders>
              <w:top w:val="single" w:sz="4" w:space="0" w:color="000000"/>
              <w:left w:val="nil"/>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三元区林业局</w:t>
            </w:r>
          </w:p>
        </w:tc>
        <w:tc>
          <w:tcPr>
            <w:tcW w:w="501" w:type="pct"/>
            <w:tcBorders>
              <w:top w:val="single" w:sz="4" w:space="0" w:color="000000"/>
              <w:left w:val="single" w:sz="4" w:space="0" w:color="000000"/>
              <w:bottom w:val="nil"/>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资金使用单位</w:t>
            </w:r>
          </w:p>
        </w:tc>
        <w:tc>
          <w:tcPr>
            <w:tcW w:w="1500" w:type="pct"/>
            <w:gridSpan w:val="2"/>
            <w:tcBorders>
              <w:top w:val="single" w:sz="4" w:space="0" w:color="000000"/>
              <w:left w:val="nil"/>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三元区林业局</w:t>
            </w:r>
          </w:p>
        </w:tc>
      </w:tr>
      <w:tr w:rsidR="008A4F86">
        <w:trPr>
          <w:jc w:val="center"/>
        </w:trPr>
        <w:tc>
          <w:tcPr>
            <w:tcW w:w="1393"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 xml:space="preserve">资金投入情况 </w:t>
            </w:r>
            <w:r>
              <w:rPr>
                <w:rFonts w:ascii="宋体" w:hAnsi="宋体" w:cs="宋体" w:hint="eastAsia"/>
                <w:snapToGrid w:val="0"/>
                <w:color w:val="000000"/>
                <w:kern w:val="0"/>
                <w:sz w:val="20"/>
                <w:szCs w:val="20"/>
              </w:rPr>
              <w:br/>
              <w:t>（万元）</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全年预算数（A）</w:t>
            </w:r>
          </w:p>
        </w:tc>
        <w:tc>
          <w:tcPr>
            <w:tcW w:w="10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全年执行数（B）</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执行率</w:t>
            </w:r>
            <w:r>
              <w:rPr>
                <w:rFonts w:ascii="宋体" w:hAnsi="宋体" w:cs="宋体" w:hint="eastAsia"/>
                <w:snapToGrid w:val="0"/>
                <w:color w:val="000000"/>
                <w:kern w:val="0"/>
                <w:sz w:val="20"/>
                <w:szCs w:val="20"/>
              </w:rPr>
              <w:br/>
              <w:t>（B/A×100%)</w:t>
            </w: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年度资金总额：</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1374.43</w:t>
            </w:r>
          </w:p>
        </w:tc>
        <w:tc>
          <w:tcPr>
            <w:tcW w:w="1009" w:type="pct"/>
            <w:gridSpan w:val="2"/>
            <w:tcBorders>
              <w:top w:val="nil"/>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1198.79</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87.22%</w:t>
            </w: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其中：中央财政资金</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1374.43</w:t>
            </w:r>
          </w:p>
        </w:tc>
        <w:tc>
          <w:tcPr>
            <w:tcW w:w="1009" w:type="pct"/>
            <w:gridSpan w:val="2"/>
            <w:tcBorders>
              <w:top w:val="nil"/>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1198.79</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87.22%</w:t>
            </w: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 xml:space="preserve">      地方财政资金</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009" w:type="pct"/>
            <w:gridSpan w:val="2"/>
            <w:tcBorders>
              <w:top w:val="nil"/>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 xml:space="preserve">      其他资金</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009" w:type="pct"/>
            <w:gridSpan w:val="2"/>
            <w:tcBorders>
              <w:top w:val="nil"/>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r>
      <w:tr w:rsidR="008A4F86">
        <w:trPr>
          <w:jc w:val="center"/>
        </w:trPr>
        <w:tc>
          <w:tcPr>
            <w:tcW w:w="1393"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资金管理情况</w:t>
            </w:r>
          </w:p>
        </w:tc>
        <w:tc>
          <w:tcPr>
            <w:tcW w:w="878" w:type="pct"/>
            <w:tcBorders>
              <w:top w:val="single" w:sz="4" w:space="0" w:color="000000"/>
              <w:left w:val="single" w:sz="4" w:space="0" w:color="000000"/>
              <w:bottom w:val="single" w:sz="4" w:space="0" w:color="000000"/>
              <w:right w:val="nil"/>
            </w:tcBorders>
            <w:shd w:val="clear" w:color="auto" w:fill="auto"/>
            <w:noWrap/>
            <w:vAlign w:val="center"/>
          </w:tcPr>
          <w:p w:rsidR="008A4F86" w:rsidRDefault="008A4F86">
            <w:pPr>
              <w:rPr>
                <w:rFonts w:ascii="宋体" w:hAnsi="宋体" w:cs="宋体"/>
                <w:sz w:val="20"/>
                <w:szCs w:val="20"/>
              </w:rPr>
            </w:pPr>
          </w:p>
        </w:tc>
        <w:tc>
          <w:tcPr>
            <w:tcW w:w="173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情况说明</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存在问题和改进措施</w:t>
            </w: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分配科学性</w:t>
            </w:r>
          </w:p>
        </w:tc>
        <w:tc>
          <w:tcPr>
            <w:tcW w:w="1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按照文件进行分配</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下达及时性</w:t>
            </w:r>
          </w:p>
        </w:tc>
        <w:tc>
          <w:tcPr>
            <w:tcW w:w="1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及时</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textAlignment w:val="center"/>
              <w:rPr>
                <w:rFonts w:ascii="宋体" w:hAnsi="宋体" w:cs="宋体"/>
                <w:sz w:val="20"/>
                <w:szCs w:val="20"/>
              </w:rPr>
            </w:pP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拨付合规性</w:t>
            </w:r>
          </w:p>
        </w:tc>
        <w:tc>
          <w:tcPr>
            <w:tcW w:w="1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合规</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textAlignment w:val="center"/>
              <w:rPr>
                <w:rFonts w:ascii="宋体" w:hAnsi="宋体" w:cs="宋体"/>
                <w:sz w:val="20"/>
                <w:szCs w:val="20"/>
              </w:rPr>
            </w:pP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使用规范性</w:t>
            </w:r>
          </w:p>
        </w:tc>
        <w:tc>
          <w:tcPr>
            <w:tcW w:w="1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规范</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执行准确性</w:t>
            </w:r>
          </w:p>
        </w:tc>
        <w:tc>
          <w:tcPr>
            <w:tcW w:w="1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执行准确</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预算绩效管理情况</w:t>
            </w:r>
          </w:p>
        </w:tc>
        <w:tc>
          <w:tcPr>
            <w:tcW w:w="1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无问题</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1393"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支出责任履行情况</w:t>
            </w:r>
          </w:p>
        </w:tc>
        <w:tc>
          <w:tcPr>
            <w:tcW w:w="17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无问题</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总体</w:t>
            </w:r>
            <w:r>
              <w:rPr>
                <w:rFonts w:ascii="宋体" w:hAnsi="宋体" w:cs="宋体" w:hint="eastAsia"/>
                <w:snapToGrid w:val="0"/>
                <w:color w:val="000000"/>
                <w:kern w:val="0"/>
                <w:sz w:val="20"/>
                <w:szCs w:val="20"/>
              </w:rPr>
              <w:br/>
              <w:t>目标</w:t>
            </w:r>
            <w:r>
              <w:rPr>
                <w:rFonts w:ascii="宋体" w:hAnsi="宋体" w:cs="宋体" w:hint="eastAsia"/>
                <w:snapToGrid w:val="0"/>
                <w:color w:val="000000"/>
                <w:kern w:val="0"/>
                <w:sz w:val="20"/>
                <w:szCs w:val="20"/>
              </w:rPr>
              <w:br/>
              <w:t>完成</w:t>
            </w:r>
            <w:r>
              <w:rPr>
                <w:rFonts w:ascii="宋体" w:hAnsi="宋体" w:cs="宋体" w:hint="eastAsia"/>
                <w:snapToGrid w:val="0"/>
                <w:color w:val="000000"/>
                <w:kern w:val="0"/>
                <w:sz w:val="20"/>
                <w:szCs w:val="20"/>
              </w:rPr>
              <w:br/>
              <w:t>情况</w:t>
            </w:r>
          </w:p>
        </w:tc>
        <w:tc>
          <w:tcPr>
            <w:tcW w:w="252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总体目标</w:t>
            </w:r>
          </w:p>
        </w:tc>
        <w:tc>
          <w:tcPr>
            <w:tcW w:w="200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全年实际完成情况</w:t>
            </w: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252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c>
          <w:tcPr>
            <w:tcW w:w="20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lastRenderedPageBreak/>
              <w:t>绩</w:t>
            </w:r>
            <w:r>
              <w:rPr>
                <w:rFonts w:ascii="宋体" w:hAnsi="宋体" w:cs="宋体" w:hint="eastAsia"/>
                <w:snapToGrid w:val="0"/>
                <w:color w:val="000000"/>
                <w:kern w:val="0"/>
                <w:sz w:val="20"/>
                <w:szCs w:val="20"/>
              </w:rPr>
              <w:br/>
              <w:t>效</w:t>
            </w:r>
            <w:r>
              <w:rPr>
                <w:rFonts w:ascii="宋体" w:hAnsi="宋体" w:cs="宋体" w:hint="eastAsia"/>
                <w:snapToGrid w:val="0"/>
                <w:color w:val="000000"/>
                <w:kern w:val="0"/>
                <w:sz w:val="20"/>
                <w:szCs w:val="20"/>
              </w:rPr>
              <w:br/>
              <w:t>指</w:t>
            </w:r>
            <w:r>
              <w:rPr>
                <w:rFonts w:ascii="宋体" w:hAnsi="宋体" w:cs="宋体" w:hint="eastAsia"/>
                <w:snapToGrid w:val="0"/>
                <w:color w:val="000000"/>
                <w:kern w:val="0"/>
                <w:sz w:val="20"/>
                <w:szCs w:val="20"/>
              </w:rPr>
              <w:br/>
              <w:t>标</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一级</w:t>
            </w:r>
            <w:r>
              <w:rPr>
                <w:rFonts w:ascii="宋体" w:hAnsi="宋体" w:cs="宋体" w:hint="eastAsia"/>
                <w:snapToGrid w:val="0"/>
                <w:color w:val="000000"/>
                <w:kern w:val="0"/>
                <w:sz w:val="20"/>
                <w:szCs w:val="20"/>
              </w:rPr>
              <w:br/>
              <w:t>指标</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二级</w:t>
            </w:r>
            <w:r>
              <w:rPr>
                <w:rFonts w:ascii="宋体" w:hAnsi="宋体" w:cs="宋体" w:hint="eastAsia"/>
                <w:snapToGrid w:val="0"/>
                <w:color w:val="000000"/>
                <w:kern w:val="0"/>
                <w:sz w:val="20"/>
                <w:szCs w:val="20"/>
              </w:rPr>
              <w:br/>
              <w:t>指标</w:t>
            </w: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三级指标</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指标值</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全年实际完成值</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未完成原因和改进措施</w:t>
            </w: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产</w:t>
            </w:r>
            <w:r>
              <w:rPr>
                <w:rFonts w:ascii="宋体" w:hAnsi="宋体" w:cs="宋体" w:hint="eastAsia"/>
                <w:snapToGrid w:val="0"/>
                <w:color w:val="000000"/>
                <w:kern w:val="0"/>
                <w:sz w:val="20"/>
                <w:szCs w:val="20"/>
              </w:rPr>
              <w:br/>
              <w:t>岀</w:t>
            </w:r>
            <w:r>
              <w:rPr>
                <w:rFonts w:ascii="宋体" w:hAnsi="宋体" w:cs="宋体" w:hint="eastAsia"/>
                <w:snapToGrid w:val="0"/>
                <w:color w:val="000000"/>
                <w:kern w:val="0"/>
                <w:sz w:val="20"/>
                <w:szCs w:val="20"/>
              </w:rPr>
              <w:br/>
              <w:t>指</w:t>
            </w:r>
            <w:r>
              <w:rPr>
                <w:rFonts w:ascii="宋体" w:hAnsi="宋体" w:cs="宋体" w:hint="eastAsia"/>
                <w:snapToGrid w:val="0"/>
                <w:color w:val="000000"/>
                <w:kern w:val="0"/>
                <w:sz w:val="20"/>
                <w:szCs w:val="20"/>
              </w:rPr>
              <w:br/>
              <w:t>标</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数量</w:t>
            </w:r>
            <w:r>
              <w:rPr>
                <w:rFonts w:ascii="宋体" w:hAnsi="宋体" w:cs="宋体" w:hint="eastAsia"/>
                <w:snapToGrid w:val="0"/>
                <w:color w:val="000000"/>
                <w:kern w:val="0"/>
                <w:sz w:val="20"/>
                <w:szCs w:val="20"/>
              </w:rPr>
              <w:br/>
              <w:t>指标</w:t>
            </w: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国家级自然保护区能力提升项目数量（个）</w:t>
            </w:r>
          </w:p>
        </w:tc>
        <w:tc>
          <w:tcPr>
            <w:tcW w:w="501" w:type="pct"/>
            <w:tcBorders>
              <w:top w:val="nil"/>
              <w:left w:val="single" w:sz="4" w:space="0" w:color="000000"/>
              <w:bottom w:val="nil"/>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湿地保护恢复与补偿项目数量（个）</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right"/>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专项拯救物种种数（个）</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right"/>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疫源疫病监测站点（个）</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right"/>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林草系统管理的古树和名木开展抢救复壮数量（株）</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right"/>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国有林管护面积（含国家公园）（万亩）</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≥10.1865</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10.1865</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其中：国家级公益林</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≥5.0787</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5.0787</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 xml:space="preserve">      天然商品林</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≥5.1078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5.1078</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非国有林生态保护补偿面积（不含国家公园）（万亩）</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≥57.0328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57.0328</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其中：国家级公益林</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≥16.0687</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16.0687</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 xml:space="preserve">      天然商品林</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≥40.9641</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40.9641</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森林修复(含森林可持续经营）面积（万亩）</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≥0.82</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16"/>
                <w:szCs w:val="16"/>
              </w:rPr>
            </w:pPr>
            <w:r>
              <w:rPr>
                <w:rFonts w:ascii="宋体" w:hAnsi="宋体" w:cs="宋体" w:hint="eastAsia"/>
                <w:snapToGrid w:val="0"/>
                <w:color w:val="000000"/>
                <w:kern w:val="0"/>
                <w:sz w:val="16"/>
                <w:szCs w:val="16"/>
              </w:rPr>
              <w:t>≥0.8238</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其中，森林可持续经营（万亩）</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≥0.35</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16"/>
                <w:szCs w:val="16"/>
              </w:rPr>
            </w:pPr>
            <w:r>
              <w:rPr>
                <w:rFonts w:ascii="宋体" w:hAnsi="宋体" w:cs="宋体" w:hint="eastAsia"/>
                <w:snapToGrid w:val="0"/>
                <w:color w:val="000000"/>
                <w:kern w:val="0"/>
                <w:sz w:val="16"/>
                <w:szCs w:val="16"/>
              </w:rPr>
              <w:t>≥0.35</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val="restart"/>
            <w:tcBorders>
              <w:top w:val="single" w:sz="4" w:space="0" w:color="000000"/>
              <w:left w:val="single" w:sz="4" w:space="0" w:color="000000"/>
              <w:bottom w:val="nil"/>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质量</w:t>
            </w:r>
            <w:r>
              <w:rPr>
                <w:rFonts w:ascii="宋体" w:hAnsi="宋体" w:cs="宋体" w:hint="eastAsia"/>
                <w:snapToGrid w:val="0"/>
                <w:color w:val="000000"/>
                <w:kern w:val="0"/>
                <w:sz w:val="20"/>
                <w:szCs w:val="20"/>
              </w:rPr>
              <w:br/>
              <w:t>指标</w:t>
            </w: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林草系统管理的古树和名木抢救复壮合格率（%）</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天然林蓄积量增长情况</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持续增长</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持续增长</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森林资源管护责任落实率（%）</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100</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16"/>
                <w:szCs w:val="16"/>
              </w:rPr>
            </w:pPr>
            <w:r>
              <w:rPr>
                <w:rFonts w:ascii="宋体" w:hAnsi="宋体" w:cs="宋体" w:hint="eastAsia"/>
                <w:snapToGrid w:val="0"/>
                <w:color w:val="000000"/>
                <w:kern w:val="0"/>
                <w:sz w:val="16"/>
                <w:szCs w:val="16"/>
              </w:rPr>
              <w:t>100</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森林保护修复补助兑现率（%）</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100</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16"/>
                <w:szCs w:val="16"/>
              </w:rPr>
            </w:pPr>
            <w:r>
              <w:rPr>
                <w:rFonts w:ascii="宋体" w:hAnsi="宋体" w:cs="宋体" w:hint="eastAsia"/>
                <w:snapToGrid w:val="0"/>
                <w:color w:val="000000"/>
                <w:kern w:val="0"/>
                <w:sz w:val="16"/>
                <w:szCs w:val="16"/>
              </w:rPr>
              <w:t>100</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val="restart"/>
            <w:tcBorders>
              <w:top w:val="single" w:sz="4" w:space="0" w:color="000000"/>
              <w:left w:val="single" w:sz="4" w:space="0" w:color="000000"/>
              <w:bottom w:val="nil"/>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时效</w:t>
            </w:r>
            <w:r>
              <w:rPr>
                <w:rFonts w:ascii="宋体" w:hAnsi="宋体" w:cs="宋体" w:hint="eastAsia"/>
                <w:snapToGrid w:val="0"/>
                <w:color w:val="000000"/>
                <w:kern w:val="0"/>
                <w:sz w:val="20"/>
                <w:szCs w:val="20"/>
              </w:rPr>
              <w:br/>
              <w:t>指标</w:t>
            </w: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国家级自然保护区能力提升当期任务完成率（%）</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湿地保护恢复与补偿当期任务完成率（%）</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非国有林生态保护补偿当期任务完成率（%）</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100</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 xml:space="preserve">100.00 </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成本</w:t>
            </w:r>
            <w:r>
              <w:rPr>
                <w:rFonts w:ascii="宋体" w:hAnsi="宋体" w:cs="宋体" w:hint="eastAsia"/>
                <w:snapToGrid w:val="0"/>
                <w:color w:val="000000"/>
                <w:kern w:val="0"/>
                <w:sz w:val="20"/>
                <w:szCs w:val="20"/>
              </w:rPr>
              <w:br/>
              <w:t>指标</w:t>
            </w: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非国有林生态保护补偿标准（元/亩）</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16</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 xml:space="preserve">16.00 </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绩</w:t>
            </w:r>
            <w:r>
              <w:rPr>
                <w:rFonts w:ascii="宋体" w:hAnsi="宋体" w:cs="宋体" w:hint="eastAsia"/>
                <w:snapToGrid w:val="0"/>
                <w:color w:val="000000"/>
                <w:kern w:val="0"/>
                <w:sz w:val="20"/>
                <w:szCs w:val="20"/>
              </w:rPr>
              <w:br/>
              <w:t>效</w:t>
            </w:r>
            <w:r>
              <w:rPr>
                <w:rFonts w:ascii="宋体" w:hAnsi="宋体" w:cs="宋体" w:hint="eastAsia"/>
                <w:snapToGrid w:val="0"/>
                <w:color w:val="000000"/>
                <w:kern w:val="0"/>
                <w:sz w:val="20"/>
                <w:szCs w:val="20"/>
              </w:rPr>
              <w:br/>
              <w:t>指</w:t>
            </w:r>
            <w:r>
              <w:rPr>
                <w:rFonts w:ascii="宋体" w:hAnsi="宋体" w:cs="宋体" w:hint="eastAsia"/>
                <w:snapToGrid w:val="0"/>
                <w:color w:val="000000"/>
                <w:kern w:val="0"/>
                <w:sz w:val="20"/>
                <w:szCs w:val="20"/>
              </w:rPr>
              <w:br/>
            </w:r>
            <w:r>
              <w:rPr>
                <w:rFonts w:ascii="宋体" w:hAnsi="宋体" w:cs="宋体" w:hint="eastAsia"/>
                <w:snapToGrid w:val="0"/>
                <w:color w:val="000000"/>
                <w:kern w:val="0"/>
                <w:sz w:val="20"/>
                <w:szCs w:val="20"/>
              </w:rPr>
              <w:lastRenderedPageBreak/>
              <w:t>标</w:t>
            </w:r>
          </w:p>
        </w:tc>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lastRenderedPageBreak/>
              <w:t>效</w:t>
            </w:r>
            <w:r>
              <w:rPr>
                <w:rFonts w:ascii="宋体" w:hAnsi="宋体" w:cs="宋体" w:hint="eastAsia"/>
                <w:snapToGrid w:val="0"/>
                <w:color w:val="000000"/>
                <w:kern w:val="0"/>
                <w:sz w:val="20"/>
                <w:szCs w:val="20"/>
              </w:rPr>
              <w:br/>
              <w:t>益</w:t>
            </w:r>
            <w:r>
              <w:rPr>
                <w:rFonts w:ascii="宋体" w:hAnsi="宋体" w:cs="宋体" w:hint="eastAsia"/>
                <w:snapToGrid w:val="0"/>
                <w:color w:val="000000"/>
                <w:kern w:val="0"/>
                <w:sz w:val="20"/>
                <w:szCs w:val="20"/>
              </w:rPr>
              <w:br/>
              <w:t>指</w:t>
            </w:r>
            <w:r>
              <w:rPr>
                <w:rFonts w:ascii="宋体" w:hAnsi="宋体" w:cs="宋体" w:hint="eastAsia"/>
                <w:snapToGrid w:val="0"/>
                <w:color w:val="000000"/>
                <w:kern w:val="0"/>
                <w:sz w:val="20"/>
                <w:szCs w:val="20"/>
              </w:rPr>
              <w:br/>
            </w:r>
            <w:r>
              <w:rPr>
                <w:rFonts w:ascii="宋体" w:hAnsi="宋体" w:cs="宋体" w:hint="eastAsia"/>
                <w:snapToGrid w:val="0"/>
                <w:color w:val="000000"/>
                <w:kern w:val="0"/>
                <w:sz w:val="20"/>
                <w:szCs w:val="20"/>
              </w:rPr>
              <w:lastRenderedPageBreak/>
              <w:t>标</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lastRenderedPageBreak/>
              <w:t>生态效益</w:t>
            </w:r>
            <w:r>
              <w:rPr>
                <w:rFonts w:ascii="宋体" w:hAnsi="宋体" w:cs="宋体" w:hint="eastAsia"/>
                <w:snapToGrid w:val="0"/>
                <w:color w:val="000000"/>
                <w:kern w:val="0"/>
                <w:sz w:val="20"/>
                <w:szCs w:val="20"/>
              </w:rPr>
              <w:br/>
              <w:t>指标</w:t>
            </w: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森林生态系统生态效益发挥</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明显</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明显</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生态系统和生物多样性</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得到有效保护</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得到有效保护</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社会效益</w:t>
            </w:r>
            <w:r>
              <w:rPr>
                <w:rFonts w:ascii="宋体" w:hAnsi="宋体" w:cs="宋体" w:hint="eastAsia"/>
                <w:snapToGrid w:val="0"/>
                <w:color w:val="000000"/>
                <w:kern w:val="0"/>
                <w:sz w:val="20"/>
                <w:szCs w:val="20"/>
              </w:rPr>
              <w:br/>
              <w:t>指标</w:t>
            </w: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国家级自然保护区保护和管理能力</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可持续影响指标</w:t>
            </w: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国有林区（林场）社会稳定</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持续发挥生态作用</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逐步提升</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逐步提升</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满意度指标</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服务对象满意度指标</w:t>
            </w:r>
          </w:p>
        </w:tc>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林区职工和周边群众满意度（%）</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≥85</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≥85</w:t>
            </w:r>
          </w:p>
        </w:tc>
        <w:tc>
          <w:tcPr>
            <w:tcW w:w="9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472" w:type="pct"/>
            <w:tcBorders>
              <w:top w:val="nil"/>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说明</w:t>
            </w:r>
          </w:p>
        </w:tc>
        <w:tc>
          <w:tcPr>
            <w:tcW w:w="452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请在此处简要说明中央巡视、各级审计和财会监督中发现的问题及其所涉及的金额，如没有请填无。</w:t>
            </w:r>
          </w:p>
        </w:tc>
      </w:tr>
      <w:tr w:rsidR="008A4F86">
        <w:trPr>
          <w:jc w:val="center"/>
        </w:trPr>
        <w:tc>
          <w:tcPr>
            <w:tcW w:w="5000" w:type="pct"/>
            <w:gridSpan w:val="8"/>
            <w:tcBorders>
              <w:top w:val="nil"/>
              <w:left w:val="nil"/>
              <w:bottom w:val="nil"/>
              <w:right w:val="nil"/>
            </w:tcBorders>
            <w:shd w:val="clear" w:color="auto" w:fill="auto"/>
          </w:tcPr>
          <w:p w:rsidR="008A4F86" w:rsidRDefault="00224E10">
            <w:pPr>
              <w:textAlignment w:val="top"/>
              <w:rPr>
                <w:rFonts w:ascii="宋体" w:hAnsi="宋体" w:cs="宋体"/>
                <w:sz w:val="20"/>
                <w:szCs w:val="20"/>
              </w:rPr>
            </w:pPr>
            <w:r>
              <w:rPr>
                <w:rFonts w:ascii="宋体" w:hAnsi="宋体" w:cs="宋体" w:hint="eastAsia"/>
                <w:snapToGrid w:val="0"/>
                <w:color w:val="000000"/>
                <w:kern w:val="0"/>
                <w:sz w:val="20"/>
                <w:szCs w:val="20"/>
              </w:rPr>
              <w:t>注:1.资金使用单位按项目绩效目标填报，主管部门汇总时按区域绩效目标填报。</w:t>
            </w:r>
            <w:r>
              <w:rPr>
                <w:rFonts w:ascii="宋体" w:hAnsi="宋体" w:cs="宋体" w:hint="eastAsia"/>
                <w:snapToGrid w:val="0"/>
                <w:color w:val="000000"/>
                <w:kern w:val="0"/>
                <w:sz w:val="20"/>
                <w:szCs w:val="20"/>
              </w:rPr>
              <w:br/>
              <w:t xml:space="preserve">   2.其他资金包括与中央财政资金、地方财政资金共同投入到同一项目的自有资金、社会资金，以及以前年度的结转结余资金等。</w:t>
            </w:r>
            <w:r>
              <w:rPr>
                <w:rFonts w:ascii="宋体" w:hAnsi="宋体" w:cs="宋体" w:hint="eastAsia"/>
                <w:snapToGrid w:val="0"/>
                <w:color w:val="000000"/>
                <w:kern w:val="0"/>
                <w:sz w:val="20"/>
                <w:szCs w:val="20"/>
              </w:rPr>
              <w:br/>
              <w:t xml:space="preserve">   3.全年执行数是指按照国库集中支付制度要求所形成的实际支出。</w:t>
            </w:r>
          </w:p>
        </w:tc>
      </w:tr>
    </w:tbl>
    <w:p w:rsidR="008A4F86" w:rsidRDefault="008A4F86">
      <w:pPr>
        <w:pStyle w:val="a3"/>
        <w:spacing w:line="283" w:lineRule="auto"/>
        <w:rPr>
          <w:lang w:eastAsia="zh-CN"/>
        </w:rPr>
      </w:pPr>
    </w:p>
    <w:p w:rsidR="008A4F86" w:rsidRDefault="008A4F86">
      <w:pPr>
        <w:pStyle w:val="a3"/>
        <w:spacing w:line="283" w:lineRule="auto"/>
        <w:rPr>
          <w:lang w:eastAsia="zh-CN"/>
        </w:rPr>
      </w:pPr>
    </w:p>
    <w:p w:rsidR="008A4F86" w:rsidRDefault="008A4F86">
      <w:pPr>
        <w:pStyle w:val="a3"/>
        <w:spacing w:line="283" w:lineRule="auto"/>
        <w:rPr>
          <w:lang w:eastAsia="zh-CN"/>
        </w:rPr>
      </w:pPr>
    </w:p>
    <w:p w:rsidR="008A4F86" w:rsidRDefault="008A4F86">
      <w:pPr>
        <w:spacing w:before="48"/>
      </w:pPr>
    </w:p>
    <w:p w:rsidR="008A4F86" w:rsidRDefault="008A4F86">
      <w:pPr>
        <w:spacing w:before="47"/>
      </w:pPr>
    </w:p>
    <w:p w:rsidR="008A4F86" w:rsidRDefault="008A4F86">
      <w:pPr>
        <w:pStyle w:val="a3"/>
        <w:spacing w:line="261" w:lineRule="auto"/>
        <w:rPr>
          <w:lang w:eastAsia="zh-CN"/>
        </w:rPr>
      </w:pPr>
    </w:p>
    <w:p w:rsidR="008A4F86" w:rsidRDefault="008A4F86">
      <w:pPr>
        <w:pStyle w:val="a3"/>
        <w:spacing w:line="261" w:lineRule="auto"/>
        <w:rPr>
          <w:lang w:eastAsia="zh-CN"/>
        </w:rPr>
      </w:pPr>
    </w:p>
    <w:p w:rsidR="008A4F86" w:rsidRDefault="008A4F86">
      <w:pPr>
        <w:pStyle w:val="a3"/>
        <w:spacing w:line="261" w:lineRule="auto"/>
        <w:rPr>
          <w:lang w:eastAsia="zh-CN"/>
        </w:rPr>
      </w:pPr>
    </w:p>
    <w:tbl>
      <w:tblPr>
        <w:tblW w:w="5000" w:type="pct"/>
        <w:jc w:val="center"/>
        <w:tblLook w:val="04A0"/>
      </w:tblPr>
      <w:tblGrid>
        <w:gridCol w:w="616"/>
        <w:gridCol w:w="980"/>
        <w:gridCol w:w="1598"/>
        <w:gridCol w:w="2496"/>
        <w:gridCol w:w="2079"/>
        <w:gridCol w:w="1197"/>
        <w:gridCol w:w="1363"/>
        <w:gridCol w:w="2642"/>
      </w:tblGrid>
      <w:tr w:rsidR="008A4F86">
        <w:trPr>
          <w:jc w:val="center"/>
        </w:trPr>
        <w:tc>
          <w:tcPr>
            <w:tcW w:w="5000" w:type="pct"/>
            <w:gridSpan w:val="8"/>
            <w:tcBorders>
              <w:top w:val="nil"/>
              <w:left w:val="nil"/>
              <w:bottom w:val="nil"/>
              <w:right w:val="nil"/>
            </w:tcBorders>
            <w:shd w:val="clear" w:color="auto" w:fill="auto"/>
            <w:noWrap/>
          </w:tcPr>
          <w:p w:rsidR="008A4F86" w:rsidRDefault="008A4F86">
            <w:pPr>
              <w:textAlignment w:val="top"/>
              <w:rPr>
                <w:rFonts w:ascii="黑体" w:eastAsia="黑体" w:hAnsi="宋体" w:cs="黑体"/>
                <w:snapToGrid w:val="0"/>
                <w:color w:val="000000"/>
                <w:kern w:val="0"/>
                <w:sz w:val="32"/>
                <w:szCs w:val="32"/>
              </w:rPr>
            </w:pPr>
          </w:p>
          <w:p w:rsidR="008A4F86" w:rsidRDefault="008A4F86">
            <w:pPr>
              <w:textAlignment w:val="top"/>
              <w:rPr>
                <w:rFonts w:ascii="黑体" w:eastAsia="黑体" w:hAnsi="宋体" w:cs="黑体"/>
                <w:snapToGrid w:val="0"/>
                <w:color w:val="000000"/>
                <w:kern w:val="0"/>
                <w:sz w:val="32"/>
                <w:szCs w:val="32"/>
              </w:rPr>
            </w:pPr>
          </w:p>
          <w:p w:rsidR="008A4F86" w:rsidRDefault="008A4F86">
            <w:pPr>
              <w:textAlignment w:val="top"/>
              <w:rPr>
                <w:rFonts w:ascii="黑体" w:eastAsia="黑体" w:hAnsi="宋体" w:cs="黑体"/>
                <w:snapToGrid w:val="0"/>
                <w:color w:val="000000"/>
                <w:kern w:val="0"/>
                <w:sz w:val="32"/>
                <w:szCs w:val="32"/>
              </w:rPr>
            </w:pPr>
          </w:p>
          <w:p w:rsidR="008A4F86" w:rsidRDefault="008A4F86">
            <w:pPr>
              <w:textAlignment w:val="top"/>
              <w:rPr>
                <w:rFonts w:ascii="黑体" w:eastAsia="黑体" w:hAnsi="宋体" w:cs="黑体"/>
                <w:snapToGrid w:val="0"/>
                <w:color w:val="000000"/>
                <w:kern w:val="0"/>
                <w:sz w:val="32"/>
                <w:szCs w:val="32"/>
              </w:rPr>
            </w:pPr>
          </w:p>
          <w:p w:rsidR="008A4F86" w:rsidRDefault="00224E10">
            <w:pPr>
              <w:textAlignment w:val="top"/>
              <w:rPr>
                <w:rFonts w:ascii="黑体" w:eastAsia="黑体" w:hAnsi="宋体" w:cs="黑体"/>
                <w:sz w:val="32"/>
                <w:szCs w:val="32"/>
              </w:rPr>
            </w:pPr>
            <w:r>
              <w:rPr>
                <w:rFonts w:ascii="黑体" w:eastAsia="黑体" w:hAnsi="宋体" w:cs="黑体" w:hint="eastAsia"/>
                <w:snapToGrid w:val="0"/>
                <w:color w:val="000000"/>
                <w:kern w:val="0"/>
                <w:sz w:val="32"/>
                <w:szCs w:val="32"/>
              </w:rPr>
              <w:lastRenderedPageBreak/>
              <w:t>附件4-2</w:t>
            </w:r>
          </w:p>
        </w:tc>
      </w:tr>
      <w:tr w:rsidR="008A4F86">
        <w:trPr>
          <w:jc w:val="center"/>
        </w:trPr>
        <w:tc>
          <w:tcPr>
            <w:tcW w:w="5000" w:type="pct"/>
            <w:gridSpan w:val="8"/>
            <w:tcBorders>
              <w:top w:val="nil"/>
              <w:left w:val="nil"/>
              <w:bottom w:val="nil"/>
              <w:right w:val="nil"/>
            </w:tcBorders>
            <w:shd w:val="clear" w:color="auto" w:fill="auto"/>
            <w:noWrap/>
            <w:vAlign w:val="center"/>
          </w:tcPr>
          <w:p w:rsidR="008A4F86" w:rsidRDefault="00224E10">
            <w:pPr>
              <w:jc w:val="center"/>
              <w:textAlignment w:val="center"/>
              <w:rPr>
                <w:rFonts w:ascii="方正小标宋简体" w:eastAsia="方正小标宋简体" w:hAnsi="方正小标宋_GBK" w:cs="方正小标宋_GBK" w:hint="eastAsia"/>
                <w:sz w:val="40"/>
                <w:szCs w:val="40"/>
              </w:rPr>
            </w:pPr>
            <w:r>
              <w:rPr>
                <w:rFonts w:ascii="方正小标宋简体" w:eastAsia="方正小标宋简体" w:hAnsi="方正小标宋_GBK" w:cs="方正小标宋_GBK" w:hint="eastAsia"/>
                <w:snapToGrid w:val="0"/>
                <w:color w:val="000000"/>
                <w:kern w:val="0"/>
                <w:sz w:val="40"/>
                <w:szCs w:val="40"/>
              </w:rPr>
              <w:lastRenderedPageBreak/>
              <w:t>林业草原改革发展资金区域绩效自评表</w:t>
            </w:r>
          </w:p>
        </w:tc>
      </w:tr>
      <w:tr w:rsidR="008A4F86">
        <w:trPr>
          <w:jc w:val="center"/>
        </w:trPr>
        <w:tc>
          <w:tcPr>
            <w:tcW w:w="5000" w:type="pct"/>
            <w:gridSpan w:val="8"/>
            <w:tcBorders>
              <w:top w:val="nil"/>
              <w:left w:val="nil"/>
              <w:bottom w:val="nil"/>
              <w:right w:val="nil"/>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（2025</w:t>
            </w:r>
            <w:r>
              <w:rPr>
                <w:rStyle w:val="font61"/>
                <w:rFonts w:hint="default"/>
                <w:snapToGrid w:val="0"/>
              </w:rPr>
              <w:t>年度）</w:t>
            </w:r>
          </w:p>
        </w:tc>
      </w:tr>
      <w:tr w:rsidR="008A4F86">
        <w:trPr>
          <w:jc w:val="center"/>
        </w:trPr>
        <w:tc>
          <w:tcPr>
            <w:tcW w:w="121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转移支付名称</w:t>
            </w:r>
          </w:p>
        </w:tc>
        <w:tc>
          <w:tcPr>
            <w:tcW w:w="3781"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林业草原改革发展资金</w:t>
            </w:r>
          </w:p>
        </w:tc>
      </w:tr>
      <w:tr w:rsidR="008A4F86">
        <w:trPr>
          <w:jc w:val="center"/>
        </w:trPr>
        <w:tc>
          <w:tcPr>
            <w:tcW w:w="121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中央主管部门</w:t>
            </w:r>
          </w:p>
        </w:tc>
        <w:tc>
          <w:tcPr>
            <w:tcW w:w="3781"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财政部、国家林业和草原局</w:t>
            </w:r>
          </w:p>
        </w:tc>
      </w:tr>
      <w:tr w:rsidR="008A4F86">
        <w:trPr>
          <w:jc w:val="center"/>
        </w:trPr>
        <w:tc>
          <w:tcPr>
            <w:tcW w:w="121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地方主管部门</w:t>
            </w: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资金使用单位</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r>
      <w:tr w:rsidR="008A4F86">
        <w:trPr>
          <w:jc w:val="center"/>
        </w:trPr>
        <w:tc>
          <w:tcPr>
            <w:tcW w:w="121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 xml:space="preserve">资金投入情况 </w:t>
            </w:r>
            <w:r>
              <w:rPr>
                <w:rFonts w:ascii="宋体" w:hAnsi="宋体" w:cs="宋体" w:hint="eastAsia"/>
                <w:snapToGrid w:val="0"/>
                <w:color w:val="000000"/>
                <w:kern w:val="0"/>
                <w:sz w:val="20"/>
                <w:szCs w:val="20"/>
              </w:rPr>
              <w:br/>
              <w:t>（万元）</w:t>
            </w:r>
          </w:p>
        </w:tc>
        <w:tc>
          <w:tcPr>
            <w:tcW w:w="9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全年预算数（A）</w:t>
            </w:r>
          </w:p>
        </w:tc>
        <w:tc>
          <w:tcPr>
            <w:tcW w:w="9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全年执行数（B）</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执行率</w:t>
            </w:r>
            <w:r>
              <w:rPr>
                <w:rFonts w:ascii="宋体" w:hAnsi="宋体" w:cs="宋体" w:hint="eastAsia"/>
                <w:snapToGrid w:val="0"/>
                <w:color w:val="000000"/>
                <w:kern w:val="0"/>
                <w:sz w:val="20"/>
                <w:szCs w:val="20"/>
              </w:rPr>
              <w:br/>
              <w:t>（B/A×100%)</w:t>
            </w: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年度资金总额：</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647.6</w:t>
            </w:r>
          </w:p>
        </w:tc>
        <w:tc>
          <w:tcPr>
            <w:tcW w:w="991" w:type="pct"/>
            <w:gridSpan w:val="2"/>
            <w:tcBorders>
              <w:top w:val="nil"/>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549.6</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84.87%</w:t>
            </w: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其中：中央财政资金</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647.6</w:t>
            </w:r>
          </w:p>
        </w:tc>
        <w:tc>
          <w:tcPr>
            <w:tcW w:w="991" w:type="pct"/>
            <w:gridSpan w:val="2"/>
            <w:tcBorders>
              <w:top w:val="nil"/>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549.6</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84.87%</w:t>
            </w: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 xml:space="preserve">      地方财政资金</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91" w:type="pct"/>
            <w:gridSpan w:val="2"/>
            <w:tcBorders>
              <w:top w:val="nil"/>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 xml:space="preserve">      其他资金</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991" w:type="pct"/>
            <w:gridSpan w:val="2"/>
            <w:tcBorders>
              <w:top w:val="nil"/>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r>
      <w:tr w:rsidR="008A4F86">
        <w:trPr>
          <w:jc w:val="center"/>
        </w:trPr>
        <w:tc>
          <w:tcPr>
            <w:tcW w:w="121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资金管理情况</w:t>
            </w:r>
          </w:p>
        </w:tc>
        <w:tc>
          <w:tcPr>
            <w:tcW w:w="965" w:type="pct"/>
            <w:tcBorders>
              <w:top w:val="single" w:sz="4" w:space="0" w:color="000000"/>
              <w:left w:val="single" w:sz="4" w:space="0" w:color="000000"/>
              <w:bottom w:val="single" w:sz="4" w:space="0" w:color="000000"/>
              <w:right w:val="nil"/>
            </w:tcBorders>
            <w:shd w:val="clear" w:color="auto" w:fill="auto"/>
            <w:noWrap/>
            <w:vAlign w:val="center"/>
          </w:tcPr>
          <w:p w:rsidR="008A4F86" w:rsidRDefault="008A4F86">
            <w:pPr>
              <w:rPr>
                <w:rFonts w:ascii="宋体" w:hAnsi="宋体" w:cs="宋体"/>
                <w:sz w:val="20"/>
                <w:szCs w:val="20"/>
              </w:rPr>
            </w:pPr>
          </w:p>
        </w:tc>
        <w:tc>
          <w:tcPr>
            <w:tcW w:w="179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情况说明</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存在问题和改进措施</w:t>
            </w: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分配科学性</w:t>
            </w:r>
          </w:p>
        </w:tc>
        <w:tc>
          <w:tcPr>
            <w:tcW w:w="17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按照文件进行分配</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下达及时性</w:t>
            </w:r>
          </w:p>
        </w:tc>
        <w:tc>
          <w:tcPr>
            <w:tcW w:w="17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及时</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textAlignment w:val="center"/>
              <w:rPr>
                <w:rFonts w:ascii="宋体" w:hAnsi="宋体" w:cs="宋体"/>
                <w:sz w:val="20"/>
                <w:szCs w:val="20"/>
              </w:rPr>
            </w:pP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拨付合规性</w:t>
            </w:r>
          </w:p>
        </w:tc>
        <w:tc>
          <w:tcPr>
            <w:tcW w:w="17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合规</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textAlignment w:val="center"/>
              <w:rPr>
                <w:rFonts w:ascii="宋体" w:hAnsi="宋体" w:cs="宋体"/>
                <w:sz w:val="20"/>
                <w:szCs w:val="20"/>
              </w:rPr>
            </w:pP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使用规范性</w:t>
            </w:r>
          </w:p>
        </w:tc>
        <w:tc>
          <w:tcPr>
            <w:tcW w:w="17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规范</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执行准确性</w:t>
            </w:r>
          </w:p>
        </w:tc>
        <w:tc>
          <w:tcPr>
            <w:tcW w:w="17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执行准确</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预算绩效管理情况</w:t>
            </w:r>
          </w:p>
        </w:tc>
        <w:tc>
          <w:tcPr>
            <w:tcW w:w="17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无问题</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1218"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0"/>
                <w:szCs w:val="20"/>
              </w:rPr>
            </w:pP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支出责任履行情况</w:t>
            </w:r>
          </w:p>
        </w:tc>
        <w:tc>
          <w:tcPr>
            <w:tcW w:w="17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无问题</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总体</w:t>
            </w:r>
            <w:r>
              <w:rPr>
                <w:rFonts w:ascii="宋体" w:hAnsi="宋体" w:cs="宋体" w:hint="eastAsia"/>
                <w:snapToGrid w:val="0"/>
                <w:color w:val="000000"/>
                <w:kern w:val="0"/>
                <w:sz w:val="20"/>
                <w:szCs w:val="20"/>
              </w:rPr>
              <w:br/>
              <w:t>目标</w:t>
            </w:r>
            <w:r>
              <w:rPr>
                <w:rFonts w:ascii="宋体" w:hAnsi="宋体" w:cs="宋体" w:hint="eastAsia"/>
                <w:snapToGrid w:val="0"/>
                <w:color w:val="000000"/>
                <w:kern w:val="0"/>
                <w:sz w:val="20"/>
                <w:szCs w:val="20"/>
              </w:rPr>
              <w:br/>
              <w:t>完成</w:t>
            </w:r>
            <w:r>
              <w:rPr>
                <w:rFonts w:ascii="宋体" w:hAnsi="宋体" w:cs="宋体" w:hint="eastAsia"/>
                <w:snapToGrid w:val="0"/>
                <w:color w:val="000000"/>
                <w:kern w:val="0"/>
                <w:sz w:val="20"/>
                <w:szCs w:val="20"/>
              </w:rPr>
              <w:br/>
              <w:t>情况</w:t>
            </w:r>
          </w:p>
        </w:tc>
        <w:tc>
          <w:tcPr>
            <w:tcW w:w="2769"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总体目标</w:t>
            </w:r>
          </w:p>
        </w:tc>
        <w:tc>
          <w:tcPr>
            <w:tcW w:w="20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全年实际完成情况</w:t>
            </w:r>
          </w:p>
        </w:tc>
      </w:tr>
      <w:tr w:rsidR="008A4F86">
        <w:trPr>
          <w:jc w:val="center"/>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27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c>
          <w:tcPr>
            <w:tcW w:w="20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val="restart"/>
            <w:tcBorders>
              <w:top w:val="single" w:sz="4" w:space="0" w:color="000000"/>
              <w:left w:val="single" w:sz="4" w:space="0" w:color="000000"/>
              <w:bottom w:val="nil"/>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lastRenderedPageBreak/>
              <w:t>绩</w:t>
            </w:r>
            <w:r>
              <w:rPr>
                <w:rFonts w:ascii="宋体" w:hAnsi="宋体" w:cs="宋体" w:hint="eastAsia"/>
                <w:snapToGrid w:val="0"/>
                <w:color w:val="000000"/>
                <w:kern w:val="0"/>
                <w:sz w:val="20"/>
                <w:szCs w:val="20"/>
              </w:rPr>
              <w:br/>
              <w:t>效</w:t>
            </w:r>
            <w:r>
              <w:rPr>
                <w:rFonts w:ascii="宋体" w:hAnsi="宋体" w:cs="宋体" w:hint="eastAsia"/>
                <w:snapToGrid w:val="0"/>
                <w:color w:val="000000"/>
                <w:kern w:val="0"/>
                <w:sz w:val="20"/>
                <w:szCs w:val="20"/>
              </w:rPr>
              <w:br/>
              <w:t>指</w:t>
            </w:r>
            <w:r>
              <w:rPr>
                <w:rFonts w:ascii="宋体" w:hAnsi="宋体" w:cs="宋体" w:hint="eastAsia"/>
                <w:snapToGrid w:val="0"/>
                <w:color w:val="000000"/>
                <w:kern w:val="0"/>
                <w:sz w:val="20"/>
                <w:szCs w:val="20"/>
              </w:rPr>
              <w:br/>
              <w:t>标</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一级</w:t>
            </w:r>
            <w:r>
              <w:rPr>
                <w:rFonts w:ascii="宋体" w:hAnsi="宋体" w:cs="宋体" w:hint="eastAsia"/>
                <w:snapToGrid w:val="0"/>
                <w:color w:val="000000"/>
                <w:kern w:val="0"/>
                <w:sz w:val="20"/>
                <w:szCs w:val="20"/>
              </w:rPr>
              <w:br/>
              <w:t>指标</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二级</w:t>
            </w:r>
            <w:r>
              <w:rPr>
                <w:rFonts w:ascii="宋体" w:hAnsi="宋体" w:cs="宋体" w:hint="eastAsia"/>
                <w:snapToGrid w:val="0"/>
                <w:color w:val="000000"/>
                <w:kern w:val="0"/>
                <w:sz w:val="20"/>
                <w:szCs w:val="20"/>
              </w:rPr>
              <w:br/>
              <w:t>指标</w:t>
            </w: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三级指标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指标值</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全年实际完成值</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未完成原因和改进措施</w:t>
            </w: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val="restart"/>
            <w:tcBorders>
              <w:top w:val="single" w:sz="4" w:space="0" w:color="000000"/>
              <w:left w:val="single" w:sz="4" w:space="0" w:color="000000"/>
              <w:bottom w:val="nil"/>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产</w:t>
            </w:r>
            <w:r>
              <w:rPr>
                <w:rFonts w:ascii="宋体" w:hAnsi="宋体" w:cs="宋体" w:hint="eastAsia"/>
                <w:snapToGrid w:val="0"/>
                <w:color w:val="000000"/>
                <w:kern w:val="0"/>
                <w:sz w:val="20"/>
                <w:szCs w:val="20"/>
              </w:rPr>
              <w:br/>
              <w:t>岀</w:t>
            </w:r>
            <w:r>
              <w:rPr>
                <w:rFonts w:ascii="宋体" w:hAnsi="宋体" w:cs="宋体" w:hint="eastAsia"/>
                <w:snapToGrid w:val="0"/>
                <w:color w:val="000000"/>
                <w:kern w:val="0"/>
                <w:sz w:val="20"/>
                <w:szCs w:val="20"/>
              </w:rPr>
              <w:br/>
              <w:t>指</w:t>
            </w:r>
            <w:r>
              <w:rPr>
                <w:rFonts w:ascii="宋体" w:hAnsi="宋体" w:cs="宋体" w:hint="eastAsia"/>
                <w:snapToGrid w:val="0"/>
                <w:color w:val="000000"/>
                <w:kern w:val="0"/>
                <w:sz w:val="20"/>
                <w:szCs w:val="20"/>
              </w:rPr>
              <w:br/>
              <w:t>标</w:t>
            </w:r>
          </w:p>
        </w:tc>
        <w:tc>
          <w:tcPr>
            <w:tcW w:w="6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数量</w:t>
            </w:r>
            <w:r>
              <w:rPr>
                <w:rFonts w:ascii="宋体" w:hAnsi="宋体" w:cs="宋体" w:hint="eastAsia"/>
                <w:snapToGrid w:val="0"/>
                <w:color w:val="000000"/>
                <w:kern w:val="0"/>
                <w:sz w:val="20"/>
                <w:szCs w:val="20"/>
              </w:rPr>
              <w:br/>
              <w:t>指标</w:t>
            </w: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油茶新造面积（万亩）</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油茶低产低效林改造面积（万亩）</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造林面积（万亩）</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≥0.3</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≥0.31</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森林质量提升面积（万亩）</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≥0.25</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≥0.27</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松材线虫病防治面积（万亩）</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≥0.47</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 xml:space="preserve">1.73 </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互花米草防治面积（万亩）</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国家重点林木良种基地和国家林草种质资源库当年任务面积（万亩）</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林木良种苗木培育数量（万株）</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≥40</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≥40</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林草科技推广项目数量（项）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全国性林草湿荒综合监测项目样地数量（个）</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22"/>
                <w:szCs w:val="22"/>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全国性林草湿荒综合监测项目图斑监测数量（个）</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≥184</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184</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val="restart"/>
            <w:tcBorders>
              <w:top w:val="single" w:sz="4" w:space="0" w:color="000000"/>
              <w:left w:val="single" w:sz="4" w:space="0" w:color="000000"/>
              <w:bottom w:val="nil"/>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质量</w:t>
            </w:r>
            <w:r>
              <w:rPr>
                <w:rFonts w:ascii="宋体" w:hAnsi="宋体" w:cs="宋体" w:hint="eastAsia"/>
                <w:snapToGrid w:val="0"/>
                <w:color w:val="000000"/>
                <w:kern w:val="0"/>
                <w:sz w:val="20"/>
                <w:szCs w:val="20"/>
              </w:rPr>
              <w:br/>
              <w:t>指标</w:t>
            </w: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油茶新造成活率（%）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低产低效林改造油茶存活率（%）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油茶良种使用率（%）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造林面积合格率(%)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≥85</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≥85</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森林质量提升面积合格率(%)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≥85</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≥85</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nil"/>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松材线虫病防控目标任务完成率（%）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≥70</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100%</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rPr>
                <w:rFonts w:ascii="宋体" w:hAnsi="宋体" w:cs="宋体"/>
                <w:sz w:val="20"/>
                <w:szCs w:val="20"/>
              </w:rPr>
            </w:pPr>
          </w:p>
        </w:tc>
      </w:tr>
      <w:tr w:rsidR="008A4F86">
        <w:trPr>
          <w:jc w:val="center"/>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时效</w:t>
            </w:r>
            <w:r>
              <w:rPr>
                <w:rFonts w:ascii="宋体" w:hAnsi="宋体" w:cs="宋体" w:hint="eastAsia"/>
                <w:snapToGrid w:val="0"/>
                <w:color w:val="000000"/>
                <w:kern w:val="0"/>
                <w:sz w:val="20"/>
                <w:szCs w:val="20"/>
              </w:rPr>
              <w:br/>
              <w:t>指标</w:t>
            </w: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油茶新造当期任务完成率（%）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油茶改造当期任务完成率（%）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造林当期任务完成率(%)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≥85</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≥85</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森林质量提升当期任务完成率（%）</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≥85</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≥85</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效</w:t>
            </w:r>
            <w:r>
              <w:rPr>
                <w:rFonts w:ascii="宋体" w:hAnsi="宋体" w:cs="宋体" w:hint="eastAsia"/>
                <w:snapToGrid w:val="0"/>
                <w:color w:val="000000"/>
                <w:kern w:val="0"/>
                <w:sz w:val="20"/>
                <w:szCs w:val="20"/>
              </w:rPr>
              <w:br/>
              <w:t>益</w:t>
            </w:r>
            <w:r>
              <w:rPr>
                <w:rFonts w:ascii="宋体" w:hAnsi="宋体" w:cs="宋体" w:hint="eastAsia"/>
                <w:snapToGrid w:val="0"/>
                <w:color w:val="000000"/>
                <w:kern w:val="0"/>
                <w:sz w:val="20"/>
                <w:szCs w:val="20"/>
              </w:rPr>
              <w:br/>
              <w:t>指</w:t>
            </w:r>
            <w:r>
              <w:rPr>
                <w:rFonts w:ascii="宋体" w:hAnsi="宋体" w:cs="宋体" w:hint="eastAsia"/>
                <w:snapToGrid w:val="0"/>
                <w:color w:val="000000"/>
                <w:kern w:val="0"/>
                <w:sz w:val="20"/>
                <w:szCs w:val="20"/>
              </w:rPr>
              <w:br/>
            </w:r>
            <w:r>
              <w:rPr>
                <w:rFonts w:ascii="宋体" w:hAnsi="宋体" w:cs="宋体" w:hint="eastAsia"/>
                <w:snapToGrid w:val="0"/>
                <w:color w:val="000000"/>
                <w:kern w:val="0"/>
                <w:sz w:val="20"/>
                <w:szCs w:val="20"/>
              </w:rPr>
              <w:lastRenderedPageBreak/>
              <w:t>标</w:t>
            </w:r>
          </w:p>
        </w:tc>
        <w:tc>
          <w:tcPr>
            <w:tcW w:w="6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lastRenderedPageBreak/>
              <w:t>生态效益</w:t>
            </w:r>
            <w:r>
              <w:rPr>
                <w:rFonts w:ascii="宋体" w:hAnsi="宋体" w:cs="宋体" w:hint="eastAsia"/>
                <w:snapToGrid w:val="0"/>
                <w:color w:val="000000"/>
                <w:kern w:val="0"/>
                <w:sz w:val="20"/>
                <w:szCs w:val="20"/>
              </w:rPr>
              <w:br/>
              <w:t>指标</w:t>
            </w: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林业有害生物无公害防治成效</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明显</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明显</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森林生态系统生态效益发挥</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明显</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明显</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可持续影响指</w:t>
            </w:r>
            <w:r>
              <w:rPr>
                <w:rFonts w:ascii="宋体" w:hAnsi="宋体" w:cs="宋体" w:hint="eastAsia"/>
                <w:snapToGrid w:val="0"/>
                <w:color w:val="000000"/>
                <w:kern w:val="0"/>
                <w:sz w:val="20"/>
                <w:szCs w:val="20"/>
              </w:rPr>
              <w:lastRenderedPageBreak/>
              <w:t>标</w:t>
            </w: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lastRenderedPageBreak/>
              <w:t>森林生态系统功能改善可持续影响</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明显</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明显</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6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对地区油茶产业发展可持续性影响</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18"/>
                <w:szCs w:val="18"/>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jc w:val="center"/>
              <w:rPr>
                <w:rFonts w:ascii="仿宋_GB2312" w:eastAsia="仿宋_GB2312" w:hAnsi="宋体" w:cs="仿宋_GB2312"/>
                <w:sz w:val="20"/>
                <w:szCs w:val="20"/>
              </w:rPr>
            </w:pP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8A4F86">
            <w:pPr>
              <w:jc w:val="center"/>
              <w:rPr>
                <w:rFonts w:ascii="宋体" w:hAnsi="宋体" w:cs="宋体"/>
                <w:sz w:val="20"/>
                <w:szCs w:val="20"/>
              </w:rPr>
            </w:pP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满意度指标</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服务对象满意度指标</w:t>
            </w:r>
          </w:p>
        </w:tc>
        <w:tc>
          <w:tcPr>
            <w:tcW w:w="17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18"/>
                <w:szCs w:val="18"/>
              </w:rPr>
            </w:pPr>
            <w:r>
              <w:rPr>
                <w:rFonts w:ascii="宋体" w:hAnsi="宋体" w:cs="宋体" w:hint="eastAsia"/>
                <w:snapToGrid w:val="0"/>
                <w:color w:val="000000"/>
                <w:kern w:val="0"/>
                <w:sz w:val="18"/>
                <w:szCs w:val="18"/>
              </w:rPr>
              <w:t>项目涉及职工和周边群众满意度（%）</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18"/>
                <w:szCs w:val="18"/>
              </w:rPr>
            </w:pPr>
            <w:r>
              <w:rPr>
                <w:rFonts w:ascii="宋体" w:hAnsi="宋体" w:cs="宋体" w:hint="eastAsia"/>
                <w:snapToGrid w:val="0"/>
                <w:color w:val="000000"/>
                <w:kern w:val="0"/>
                <w:sz w:val="18"/>
                <w:szCs w:val="18"/>
              </w:rPr>
              <w:t>≥85</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仿宋_GB2312" w:eastAsia="仿宋_GB2312" w:hAnsi="宋体" w:cs="仿宋_GB2312"/>
                <w:sz w:val="20"/>
                <w:szCs w:val="20"/>
              </w:rPr>
            </w:pPr>
            <w:r>
              <w:rPr>
                <w:rFonts w:ascii="仿宋_GB2312" w:eastAsia="仿宋_GB2312" w:hAnsi="宋体" w:cs="仿宋_GB2312" w:hint="eastAsia"/>
                <w:snapToGrid w:val="0"/>
                <w:color w:val="000000"/>
                <w:kern w:val="0"/>
                <w:sz w:val="20"/>
                <w:szCs w:val="20"/>
              </w:rPr>
              <w:t>≥85</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8A4F86">
            <w:pPr>
              <w:rPr>
                <w:rFonts w:ascii="宋体" w:hAnsi="宋体" w:cs="宋体"/>
                <w:sz w:val="20"/>
                <w:szCs w:val="20"/>
              </w:rPr>
            </w:pPr>
          </w:p>
        </w:tc>
      </w:tr>
      <w:tr w:rsidR="008A4F86">
        <w:trPr>
          <w:jc w:val="center"/>
        </w:trPr>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4F86" w:rsidRDefault="00224E10">
            <w:pPr>
              <w:jc w:val="center"/>
              <w:textAlignment w:val="center"/>
              <w:rPr>
                <w:rFonts w:ascii="宋体" w:hAnsi="宋体" w:cs="宋体"/>
                <w:sz w:val="20"/>
                <w:szCs w:val="20"/>
              </w:rPr>
            </w:pPr>
            <w:r>
              <w:rPr>
                <w:rFonts w:ascii="宋体" w:hAnsi="宋体" w:cs="宋体" w:hint="eastAsia"/>
                <w:snapToGrid w:val="0"/>
                <w:color w:val="000000"/>
                <w:kern w:val="0"/>
                <w:sz w:val="20"/>
                <w:szCs w:val="20"/>
              </w:rPr>
              <w:t>说明</w:t>
            </w:r>
          </w:p>
        </w:tc>
        <w:tc>
          <w:tcPr>
            <w:tcW w:w="47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A4F86" w:rsidRDefault="00224E10">
            <w:pPr>
              <w:textAlignment w:val="center"/>
              <w:rPr>
                <w:rFonts w:ascii="宋体" w:hAnsi="宋体" w:cs="宋体"/>
                <w:sz w:val="20"/>
                <w:szCs w:val="20"/>
              </w:rPr>
            </w:pPr>
            <w:r>
              <w:rPr>
                <w:rFonts w:ascii="宋体" w:hAnsi="宋体" w:cs="宋体" w:hint="eastAsia"/>
                <w:snapToGrid w:val="0"/>
                <w:color w:val="000000"/>
                <w:kern w:val="0"/>
                <w:sz w:val="20"/>
                <w:szCs w:val="20"/>
              </w:rPr>
              <w:t>请在此处简要说明中央巡视、各级审计和财会监督中发现的问题及其所涉及的金额，如没有请填无。</w:t>
            </w:r>
          </w:p>
        </w:tc>
      </w:tr>
      <w:tr w:rsidR="008A4F86">
        <w:trPr>
          <w:jc w:val="center"/>
        </w:trPr>
        <w:tc>
          <w:tcPr>
            <w:tcW w:w="3979" w:type="pct"/>
            <w:gridSpan w:val="7"/>
            <w:tcBorders>
              <w:top w:val="nil"/>
              <w:left w:val="nil"/>
              <w:bottom w:val="nil"/>
              <w:right w:val="nil"/>
            </w:tcBorders>
            <w:shd w:val="clear" w:color="auto" w:fill="auto"/>
          </w:tcPr>
          <w:p w:rsidR="008A4F86" w:rsidRDefault="00224E10">
            <w:pPr>
              <w:textAlignment w:val="top"/>
              <w:rPr>
                <w:rFonts w:ascii="宋体" w:hAnsi="宋体" w:cs="宋体"/>
                <w:sz w:val="20"/>
                <w:szCs w:val="20"/>
              </w:rPr>
            </w:pPr>
            <w:r>
              <w:rPr>
                <w:rFonts w:ascii="宋体" w:hAnsi="宋体" w:cs="宋体" w:hint="eastAsia"/>
                <w:snapToGrid w:val="0"/>
                <w:color w:val="000000"/>
                <w:kern w:val="0"/>
                <w:sz w:val="20"/>
                <w:szCs w:val="20"/>
              </w:rPr>
              <w:t>注:1.资金使用单位按项目绩效目标填报，主管部门汇总时按区域绩效目标填报。</w:t>
            </w:r>
            <w:r>
              <w:rPr>
                <w:rFonts w:ascii="宋体" w:hAnsi="宋体" w:cs="宋体" w:hint="eastAsia"/>
                <w:snapToGrid w:val="0"/>
                <w:color w:val="000000"/>
                <w:kern w:val="0"/>
                <w:sz w:val="20"/>
                <w:szCs w:val="20"/>
              </w:rPr>
              <w:br/>
              <w:t xml:space="preserve">   2.其他资金包括与中央财政资金、地方财政资金共同投入到同一项目的自有资金、社会资金，以及以前年度的结转结余资金等。</w:t>
            </w:r>
            <w:r>
              <w:rPr>
                <w:rFonts w:ascii="宋体" w:hAnsi="宋体" w:cs="宋体" w:hint="eastAsia"/>
                <w:snapToGrid w:val="0"/>
                <w:color w:val="000000"/>
                <w:kern w:val="0"/>
                <w:sz w:val="20"/>
                <w:szCs w:val="20"/>
              </w:rPr>
              <w:br/>
              <w:t xml:space="preserve">   3.全年执行数是指按照国库集中支付制度要求所形成的实际支出。</w:t>
            </w:r>
          </w:p>
        </w:tc>
        <w:tc>
          <w:tcPr>
            <w:tcW w:w="1020" w:type="pct"/>
            <w:tcBorders>
              <w:top w:val="nil"/>
              <w:left w:val="nil"/>
              <w:bottom w:val="nil"/>
              <w:right w:val="nil"/>
            </w:tcBorders>
            <w:shd w:val="clear" w:color="auto" w:fill="auto"/>
            <w:noWrap/>
            <w:vAlign w:val="center"/>
          </w:tcPr>
          <w:p w:rsidR="008A4F86" w:rsidRDefault="008A4F86">
            <w:pPr>
              <w:rPr>
                <w:sz w:val="20"/>
                <w:szCs w:val="20"/>
              </w:rPr>
            </w:pPr>
          </w:p>
        </w:tc>
      </w:tr>
    </w:tbl>
    <w:p w:rsidR="008A4F86" w:rsidRDefault="008A4F86">
      <w:pPr>
        <w:pStyle w:val="a3"/>
        <w:rPr>
          <w:lang w:eastAsia="zh-CN"/>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sectPr w:rsidR="008A4F86">
          <w:pgSz w:w="16838" w:h="11906" w:orient="landscape"/>
          <w:pgMar w:top="1531" w:right="2098" w:bottom="1531" w:left="1985" w:header="851" w:footer="992" w:gutter="0"/>
          <w:pgNumType w:fmt="numberInDash"/>
          <w:cols w:space="425"/>
          <w:docGrid w:type="lines" w:linePitch="312"/>
        </w:sect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p>
    <w:p w:rsidR="008A4F86" w:rsidRDefault="008A4F86">
      <w:pPr>
        <w:rPr>
          <w:rFonts w:ascii="仿宋_GB2312" w:eastAsia="仿宋_GB2312"/>
          <w:sz w:val="32"/>
          <w:szCs w:val="32"/>
        </w:rPr>
      </w:pPr>
      <w:bookmarkStart w:id="1" w:name="OLE_LINK4"/>
      <w:bookmarkStart w:id="2" w:name="OLE_LINK3"/>
    </w:p>
    <w:p w:rsidR="008A4F86" w:rsidRDefault="008A4F86">
      <w:pPr>
        <w:rPr>
          <w:rFonts w:ascii="仿宋_GB2312" w:eastAsia="仿宋_GB2312"/>
          <w:sz w:val="32"/>
          <w:szCs w:val="32"/>
        </w:rPr>
      </w:pPr>
    </w:p>
    <w:p w:rsidR="008A4F86" w:rsidRDefault="00224E10">
      <w:pPr>
        <w:pBdr>
          <w:top w:val="single" w:sz="4" w:space="6" w:color="auto"/>
          <w:bottom w:val="single" w:sz="4" w:space="12" w:color="auto"/>
        </w:pBdr>
        <w:spacing w:line="560" w:lineRule="exact"/>
        <w:ind w:firstLineChars="100" w:firstLine="300"/>
        <w:rPr>
          <w:rFonts w:ascii="仿宋_GB2312" w:eastAsia="仿宋_GB2312" w:hAnsi="仿宋"/>
          <w:sz w:val="30"/>
          <w:szCs w:val="30"/>
        </w:rPr>
      </w:pPr>
      <w:r>
        <w:rPr>
          <w:rFonts w:ascii="仿宋_GB2312" w:eastAsia="仿宋_GB2312" w:hAnsi="仿宋" w:hint="eastAsia"/>
          <w:sz w:val="30"/>
          <w:szCs w:val="30"/>
        </w:rPr>
        <w:t>三明市三元区林业局办公室            202</w:t>
      </w:r>
      <w:r>
        <w:rPr>
          <w:rFonts w:ascii="仿宋_GB2312" w:eastAsia="仿宋_GB2312" w:hAnsi="仿宋"/>
          <w:sz w:val="30"/>
          <w:szCs w:val="30"/>
        </w:rPr>
        <w:t>6</w:t>
      </w:r>
      <w:r>
        <w:rPr>
          <w:rFonts w:ascii="仿宋_GB2312" w:eastAsia="仿宋_GB2312" w:hAnsi="仿宋" w:hint="eastAsia"/>
          <w:sz w:val="30"/>
          <w:szCs w:val="30"/>
        </w:rPr>
        <w:t>年</w:t>
      </w:r>
      <w:r>
        <w:rPr>
          <w:rFonts w:ascii="仿宋_GB2312" w:eastAsia="仿宋_GB2312" w:hAnsi="仿宋"/>
          <w:sz w:val="30"/>
          <w:szCs w:val="30"/>
        </w:rPr>
        <w:t>5</w:t>
      </w:r>
      <w:r>
        <w:rPr>
          <w:rFonts w:ascii="仿宋_GB2312" w:eastAsia="仿宋_GB2312" w:hAnsi="仿宋" w:hint="eastAsia"/>
          <w:sz w:val="30"/>
          <w:szCs w:val="30"/>
        </w:rPr>
        <w:t>月</w:t>
      </w:r>
      <w:r>
        <w:rPr>
          <w:rFonts w:ascii="仿宋_GB2312" w:eastAsia="仿宋_GB2312" w:hAnsi="仿宋"/>
          <w:sz w:val="30"/>
          <w:szCs w:val="30"/>
        </w:rPr>
        <w:t>26</w:t>
      </w:r>
      <w:r>
        <w:rPr>
          <w:rFonts w:ascii="仿宋_GB2312" w:eastAsia="仿宋_GB2312" w:hAnsi="仿宋" w:hint="eastAsia"/>
          <w:sz w:val="30"/>
          <w:szCs w:val="30"/>
        </w:rPr>
        <w:t xml:space="preserve">日印发 </w:t>
      </w:r>
      <w:bookmarkEnd w:id="1"/>
      <w:bookmarkEnd w:id="2"/>
    </w:p>
    <w:sectPr w:rsidR="008A4F86" w:rsidSect="00D94F47">
      <w:footerReference w:type="even" r:id="rId12"/>
      <w:footerReference w:type="default" r:id="rId13"/>
      <w:pgSz w:w="11906" w:h="16838"/>
      <w:pgMar w:top="2098" w:right="1531" w:bottom="1985"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36B" w:rsidRDefault="0025736B">
      <w:r>
        <w:separator/>
      </w:r>
    </w:p>
  </w:endnote>
  <w:endnote w:type="continuationSeparator" w:id="1">
    <w:p w:rsidR="0025736B" w:rsidRDefault="00257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491397"/>
      <w:docPartObj>
        <w:docPartGallery w:val="AutoText"/>
      </w:docPartObj>
    </w:sdtPr>
    <w:sdtEndPr>
      <w:rPr>
        <w:rFonts w:asciiTheme="minorEastAsia" w:hAnsiTheme="minorEastAsia"/>
        <w:sz w:val="28"/>
        <w:szCs w:val="28"/>
      </w:rPr>
    </w:sdtEndPr>
    <w:sdtContent>
      <w:p w:rsidR="00A3460A" w:rsidRDefault="00A3460A">
        <w:pPr>
          <w:pStyle w:val="a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F773DA" w:rsidRPr="00F773DA">
          <w:rPr>
            <w:rFonts w:asciiTheme="minorEastAsia" w:hAnsiTheme="minorEastAsia"/>
            <w:noProof/>
            <w:sz w:val="28"/>
            <w:szCs w:val="28"/>
            <w:lang w:val="zh-CN"/>
          </w:rPr>
          <w:t>-</w:t>
        </w:r>
        <w:r w:rsidR="00F773DA">
          <w:rPr>
            <w:rFonts w:asciiTheme="minorEastAsia" w:hAnsiTheme="minorEastAsia"/>
            <w:noProof/>
            <w:sz w:val="28"/>
            <w:szCs w:val="28"/>
          </w:rPr>
          <w:t xml:space="preserve"> 6 -</w:t>
        </w:r>
        <w:r>
          <w:rPr>
            <w:rFonts w:asciiTheme="minorEastAsia" w:hAnsiTheme="minorEastAsia"/>
            <w:sz w:val="28"/>
            <w:szCs w:val="28"/>
          </w:rPr>
          <w:fldChar w:fldCharType="end"/>
        </w:r>
      </w:p>
    </w:sdtContent>
  </w:sdt>
  <w:p w:rsidR="00A3460A" w:rsidRDefault="00A3460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007925"/>
      <w:docPartObj>
        <w:docPartGallery w:val="AutoText"/>
      </w:docPartObj>
    </w:sdtPr>
    <w:sdtEndPr>
      <w:rPr>
        <w:rFonts w:asciiTheme="minorEastAsia" w:hAnsiTheme="minorEastAsia"/>
        <w:sz w:val="28"/>
        <w:szCs w:val="28"/>
      </w:rPr>
    </w:sdtEndPr>
    <w:sdtContent>
      <w:p w:rsidR="00A3460A" w:rsidRDefault="00A3460A">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F773DA" w:rsidRPr="00F773DA">
          <w:rPr>
            <w:rFonts w:asciiTheme="minorEastAsia" w:hAnsiTheme="minorEastAsia"/>
            <w:noProof/>
            <w:sz w:val="28"/>
            <w:szCs w:val="28"/>
            <w:lang w:val="zh-CN"/>
          </w:rPr>
          <w:t>-</w:t>
        </w:r>
        <w:r w:rsidR="00F773DA">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A3460A" w:rsidRDefault="00A3460A">
    <w:pPr>
      <w:spacing w:line="231" w:lineRule="auto"/>
      <w:rPr>
        <w:rFonts w:ascii="宋体" w:hAnsi="宋体" w:cs="宋体"/>
        <w:sz w:val="23"/>
        <w:szCs w:val="2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0A" w:rsidRDefault="00A3460A">
    <w:pPr>
      <w:pStyle w:val="a6"/>
      <w:rPr>
        <w:rFonts w:asciiTheme="minorEastAsia" w:hAnsiTheme="minorEastAsia"/>
        <w:sz w:val="28"/>
        <w:szCs w:val="28"/>
      </w:rPr>
    </w:pPr>
  </w:p>
  <w:p w:rsidR="00A3460A" w:rsidRDefault="00A3460A">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0A" w:rsidRDefault="00A3460A">
    <w:pPr>
      <w:pStyle w:val="a6"/>
      <w:ind w:right="180"/>
      <w:jc w:val="right"/>
      <w:rPr>
        <w:rFonts w:asciiTheme="minorEastAsia" w:hAnsiTheme="minorEastAsia"/>
        <w:sz w:val="28"/>
        <w:szCs w:val="28"/>
      </w:rPr>
    </w:pPr>
  </w:p>
  <w:p w:rsidR="00A3460A" w:rsidRDefault="00A3460A">
    <w:pPr>
      <w:spacing w:line="231" w:lineRule="auto"/>
      <w:rPr>
        <w:rFonts w:ascii="宋体" w:hAnsi="宋体" w:cs="宋体"/>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36B" w:rsidRDefault="0025736B">
      <w:r>
        <w:separator/>
      </w:r>
    </w:p>
  </w:footnote>
  <w:footnote w:type="continuationSeparator" w:id="1">
    <w:p w:rsidR="0025736B" w:rsidRDefault="00257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0A" w:rsidRDefault="00A3460A">
    <w:pPr>
      <w:spacing w:before="84" w:line="265" w:lineRule="auto"/>
      <w:ind w:right="171"/>
      <w:rPr>
        <w:rFonts w:ascii="仿宋" w:eastAsia="仿宋" w:hAnsi="仿宋" w:cs="仿宋"/>
        <w:sz w:val="33"/>
        <w:szCs w:val="3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D5261B"/>
    <w:multiLevelType w:val="singleLevel"/>
    <w:tmpl w:val="A7D5261B"/>
    <w:lvl w:ilvl="0">
      <w:start w:val="3"/>
      <w:numFmt w:val="decimal"/>
      <w:suff w:val="nothing"/>
      <w:lvlText w:val="（%1）"/>
      <w:lvlJc w:val="left"/>
    </w:lvl>
  </w:abstractNum>
  <w:abstractNum w:abstractNumId="1">
    <w:nsid w:val="DDE3CAED"/>
    <w:multiLevelType w:val="singleLevel"/>
    <w:tmpl w:val="DDE3CAED"/>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0F8"/>
    <w:rsid w:val="00043F29"/>
    <w:rsid w:val="000F56DC"/>
    <w:rsid w:val="00104D83"/>
    <w:rsid w:val="001128BA"/>
    <w:rsid w:val="001A3A2E"/>
    <w:rsid w:val="00224E10"/>
    <w:rsid w:val="0025736B"/>
    <w:rsid w:val="00276443"/>
    <w:rsid w:val="004444CC"/>
    <w:rsid w:val="00460E6D"/>
    <w:rsid w:val="00463BB8"/>
    <w:rsid w:val="00594EAF"/>
    <w:rsid w:val="005B14AD"/>
    <w:rsid w:val="005C337B"/>
    <w:rsid w:val="00603C0E"/>
    <w:rsid w:val="00642EE8"/>
    <w:rsid w:val="00664DEF"/>
    <w:rsid w:val="00666227"/>
    <w:rsid w:val="006B636C"/>
    <w:rsid w:val="006C5F35"/>
    <w:rsid w:val="00746909"/>
    <w:rsid w:val="00783E30"/>
    <w:rsid w:val="0079500B"/>
    <w:rsid w:val="008A4718"/>
    <w:rsid w:val="008A4F86"/>
    <w:rsid w:val="008E7B3D"/>
    <w:rsid w:val="0092678E"/>
    <w:rsid w:val="009363E5"/>
    <w:rsid w:val="009719D7"/>
    <w:rsid w:val="00A3460A"/>
    <w:rsid w:val="00AC271A"/>
    <w:rsid w:val="00BA3928"/>
    <w:rsid w:val="00BF6C56"/>
    <w:rsid w:val="00CA22D8"/>
    <w:rsid w:val="00D70347"/>
    <w:rsid w:val="00D73404"/>
    <w:rsid w:val="00D77792"/>
    <w:rsid w:val="00D81CE5"/>
    <w:rsid w:val="00D94F47"/>
    <w:rsid w:val="00DA70F8"/>
    <w:rsid w:val="00DE3AC4"/>
    <w:rsid w:val="00E47506"/>
    <w:rsid w:val="00F773DA"/>
    <w:rsid w:val="53907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F47"/>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D94F47"/>
    <w:pPr>
      <w:keepNext/>
      <w:keepLines/>
      <w:widowControl/>
      <w:kinsoku w:val="0"/>
      <w:autoSpaceDE w:val="0"/>
      <w:autoSpaceDN w:val="0"/>
      <w:adjustRightInd w:val="0"/>
      <w:snapToGrid w:val="0"/>
      <w:ind w:leftChars="300" w:left="630"/>
      <w:jc w:val="left"/>
      <w:textAlignment w:val="baseline"/>
      <w:outlineLvl w:val="0"/>
    </w:pPr>
    <w:rPr>
      <w:rFonts w:ascii="黑体" w:eastAsia="黑体" w:hAnsi="黑体" w:cs="Arial"/>
      <w:snapToGrid w:val="0"/>
      <w:color w:val="000000"/>
      <w:kern w:val="44"/>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semiHidden/>
    <w:qFormat/>
    <w:rsid w:val="00D94F47"/>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4">
    <w:name w:val="Body Text First Indent"/>
    <w:basedOn w:val="a3"/>
    <w:link w:val="Char0"/>
    <w:uiPriority w:val="99"/>
    <w:semiHidden/>
    <w:unhideWhenUsed/>
    <w:qFormat/>
    <w:rsid w:val="00D94F47"/>
    <w:pPr>
      <w:spacing w:after="120"/>
      <w:ind w:firstLineChars="100" w:firstLine="420"/>
    </w:pPr>
  </w:style>
  <w:style w:type="paragraph" w:styleId="a5">
    <w:name w:val="Date"/>
    <w:basedOn w:val="a"/>
    <w:next w:val="a"/>
    <w:link w:val="Char1"/>
    <w:uiPriority w:val="99"/>
    <w:semiHidden/>
    <w:unhideWhenUsed/>
    <w:rsid w:val="00D94F47"/>
    <w:pPr>
      <w:ind w:leftChars="2500" w:left="100"/>
    </w:pPr>
  </w:style>
  <w:style w:type="paragraph" w:styleId="a6">
    <w:name w:val="footer"/>
    <w:basedOn w:val="a"/>
    <w:link w:val="Char2"/>
    <w:uiPriority w:val="99"/>
    <w:unhideWhenUsed/>
    <w:rsid w:val="00D94F47"/>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nhideWhenUsed/>
    <w:qFormat/>
    <w:rsid w:val="00D94F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3">
    <w:name w:val="页眉 Char"/>
    <w:basedOn w:val="a0"/>
    <w:link w:val="a7"/>
    <w:rsid w:val="00D94F47"/>
    <w:rPr>
      <w:sz w:val="18"/>
      <w:szCs w:val="18"/>
    </w:rPr>
  </w:style>
  <w:style w:type="character" w:customStyle="1" w:styleId="Char2">
    <w:name w:val="页脚 Char"/>
    <w:basedOn w:val="a0"/>
    <w:link w:val="a6"/>
    <w:uiPriority w:val="99"/>
    <w:rsid w:val="00D94F47"/>
    <w:rPr>
      <w:sz w:val="18"/>
      <w:szCs w:val="18"/>
    </w:rPr>
  </w:style>
  <w:style w:type="character" w:customStyle="1" w:styleId="1Char">
    <w:name w:val="标题 1 Char"/>
    <w:basedOn w:val="a0"/>
    <w:link w:val="1"/>
    <w:uiPriority w:val="9"/>
    <w:rsid w:val="00D94F47"/>
    <w:rPr>
      <w:rFonts w:ascii="黑体" w:eastAsia="黑体" w:hAnsi="黑体" w:cs="Arial"/>
      <w:snapToGrid w:val="0"/>
      <w:color w:val="000000"/>
      <w:kern w:val="44"/>
      <w:sz w:val="32"/>
      <w:szCs w:val="32"/>
      <w:lang w:eastAsia="en-US"/>
    </w:rPr>
  </w:style>
  <w:style w:type="character" w:customStyle="1" w:styleId="Char">
    <w:name w:val="正文文本 Char"/>
    <w:basedOn w:val="a0"/>
    <w:link w:val="a3"/>
    <w:semiHidden/>
    <w:rsid w:val="00D94F47"/>
    <w:rPr>
      <w:rFonts w:ascii="Arial" w:eastAsia="Arial" w:hAnsi="Arial" w:cs="Arial"/>
      <w:snapToGrid w:val="0"/>
      <w:color w:val="000000"/>
      <w:kern w:val="0"/>
      <w:szCs w:val="21"/>
      <w:lang w:eastAsia="en-US"/>
    </w:rPr>
  </w:style>
  <w:style w:type="character" w:customStyle="1" w:styleId="Char0">
    <w:name w:val="正文首行缩进 Char"/>
    <w:basedOn w:val="Char"/>
    <w:link w:val="a4"/>
    <w:uiPriority w:val="99"/>
    <w:semiHidden/>
    <w:rsid w:val="00D94F47"/>
    <w:rPr>
      <w:rFonts w:ascii="Arial" w:eastAsia="Arial" w:hAnsi="Arial" w:cs="Arial"/>
      <w:snapToGrid w:val="0"/>
      <w:color w:val="000000"/>
      <w:kern w:val="0"/>
      <w:szCs w:val="21"/>
      <w:lang w:eastAsia="en-US"/>
    </w:rPr>
  </w:style>
  <w:style w:type="table" w:customStyle="1" w:styleId="TableNormal">
    <w:name w:val="Table Normal"/>
    <w:semiHidden/>
    <w:unhideWhenUsed/>
    <w:qFormat/>
    <w:rsid w:val="00D94F47"/>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rsid w:val="00D94F47"/>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character" w:customStyle="1" w:styleId="font41">
    <w:name w:val="font41"/>
    <w:basedOn w:val="a0"/>
    <w:qFormat/>
    <w:rsid w:val="00D94F47"/>
    <w:rPr>
      <w:rFonts w:ascii="宋体" w:eastAsia="宋体" w:hAnsi="宋体" w:cs="宋体" w:hint="eastAsia"/>
      <w:color w:val="000000"/>
      <w:sz w:val="20"/>
      <w:szCs w:val="20"/>
      <w:u w:val="none"/>
    </w:rPr>
  </w:style>
  <w:style w:type="character" w:customStyle="1" w:styleId="font51">
    <w:name w:val="font51"/>
    <w:basedOn w:val="a0"/>
    <w:qFormat/>
    <w:rsid w:val="00D94F47"/>
    <w:rPr>
      <w:rFonts w:ascii="宋体" w:eastAsia="宋体" w:hAnsi="宋体" w:cs="宋体" w:hint="eastAsia"/>
      <w:color w:val="000000"/>
      <w:sz w:val="18"/>
      <w:szCs w:val="18"/>
      <w:u w:val="none"/>
    </w:rPr>
  </w:style>
  <w:style w:type="character" w:customStyle="1" w:styleId="font61">
    <w:name w:val="font61"/>
    <w:basedOn w:val="a0"/>
    <w:qFormat/>
    <w:rsid w:val="00D94F47"/>
    <w:rPr>
      <w:rFonts w:ascii="宋体" w:eastAsia="宋体" w:hAnsi="宋体" w:cs="宋体" w:hint="eastAsia"/>
      <w:color w:val="000000"/>
      <w:sz w:val="18"/>
      <w:szCs w:val="18"/>
      <w:u w:val="none"/>
    </w:rPr>
  </w:style>
  <w:style w:type="character" w:customStyle="1" w:styleId="Char1">
    <w:name w:val="日期 Char"/>
    <w:basedOn w:val="a0"/>
    <w:link w:val="a5"/>
    <w:uiPriority w:val="99"/>
    <w:semiHidden/>
    <w:rsid w:val="00D94F4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0F544-7A5B-4AE6-A0D3-8CDAA981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1586</Words>
  <Characters>9045</Characters>
  <Application>Microsoft Office Word</Application>
  <DocSecurity>0</DocSecurity>
  <Lines>75</Lines>
  <Paragraphs>21</Paragraphs>
  <ScaleCrop>false</ScaleCrop>
  <Company>微软中国</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2026-06-08T09:53:00Z</dcterms:created>
  <dcterms:modified xsi:type="dcterms:W3CDTF">2026-06-08T09:53:00Z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eyJoZGlkIjoiNTdlNmYwNDE4ZGVjNGM3ZmMyNzg0YjM3ZjVhMjcxMmUiLCJ1c2VySWQiOiIyODkxNjg0NDAifQ==</vt:lpwstr>
  </property>
  <property fmtid="{D5CDD505-2E9C-101B-9397-08002B2CF9AE}" pid="3" name="KSOProductBuildVer">
    <vt:lpwstr>2052-12.1.0.26375</vt:lpwstr>
  </property>
  <property fmtid="{D5CDD505-2E9C-101B-9397-08002B2CF9AE}" pid="4" name="ICV">
    <vt:lpwstr>63D56AABA7B2489DA717F6D8636E914D_13</vt:lpwstr>
  </property>
</Properties>
</file>