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spacing w:val="-11"/>
          <w:sz w:val="44"/>
          <w:szCs w:val="44"/>
        </w:rPr>
        <w:t>关于《</w:t>
      </w:r>
      <w:r>
        <w:rPr>
          <w:rFonts w:hint="eastAsia" w:ascii="宋体" w:hAnsi="宋体" w:eastAsia="方正小标宋简体"/>
          <w:spacing w:val="-11"/>
          <w:sz w:val="44"/>
          <w:szCs w:val="44"/>
          <w:lang w:eastAsia="zh-CN"/>
        </w:rPr>
        <w:t>三元区</w:t>
      </w:r>
      <w:r>
        <w:rPr>
          <w:rFonts w:hint="eastAsia" w:ascii="宋体" w:hAnsi="宋体" w:eastAsia="方正小标宋简体"/>
          <w:spacing w:val="-11"/>
          <w:sz w:val="44"/>
          <w:szCs w:val="44"/>
        </w:rPr>
        <w:t>人民政府关于</w:t>
      </w:r>
      <w:r>
        <w:rPr>
          <w:rFonts w:hint="eastAsia" w:ascii="宋体" w:hAnsi="宋体" w:eastAsia="方正小标宋简体"/>
          <w:spacing w:val="-11"/>
          <w:sz w:val="44"/>
          <w:szCs w:val="44"/>
          <w:lang w:eastAsia="zh-CN"/>
        </w:rPr>
        <w:t>调整</w:t>
      </w:r>
      <w:r>
        <w:rPr>
          <w:rFonts w:hint="eastAsia" w:ascii="宋体" w:hAnsi="宋体" w:eastAsia="方正小标宋简体"/>
          <w:spacing w:val="-11"/>
          <w:sz w:val="44"/>
          <w:szCs w:val="44"/>
        </w:rPr>
        <w:t>乡（镇）人民</w:t>
      </w:r>
      <w:r>
        <w:rPr>
          <w:rFonts w:hint="eastAsia" w:ascii="宋体" w:hAnsi="宋体" w:eastAsia="方正小标宋简体"/>
          <w:spacing w:val="0"/>
          <w:sz w:val="44"/>
          <w:szCs w:val="44"/>
        </w:rPr>
        <w:t>政府行政执法事项（第一批）的决定</w:t>
      </w:r>
    </w:p>
    <w:p w14:paraId="5EB81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spacing w:val="0"/>
          <w:sz w:val="44"/>
          <w:szCs w:val="44"/>
        </w:rPr>
        <w:t>（送审稿）》</w:t>
      </w:r>
      <w:r>
        <w:rPr>
          <w:rFonts w:hint="eastAsia" w:ascii="宋体" w:hAnsi="宋体" w:eastAsia="方正小标宋简体"/>
          <w:spacing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起草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说明</w:t>
      </w:r>
    </w:p>
    <w:p w14:paraId="68BD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pacing w:val="10"/>
          <w:sz w:val="32"/>
          <w:szCs w:val="32"/>
        </w:rPr>
      </w:pPr>
      <w:bookmarkStart w:id="0" w:name="_GoBack"/>
      <w:bookmarkEnd w:id="0"/>
    </w:p>
    <w:p w14:paraId="4F75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>起草过程</w:t>
      </w:r>
    </w:p>
    <w:p w14:paraId="0C1EE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（一）起草背景</w:t>
      </w:r>
    </w:p>
    <w:p w14:paraId="05377D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，我区根据中央和省、市关于深化基层综合行政执法体制改革的部署，印发了《三元区人民政府关于赋予乡镇人民政府部分行政处罚权的决定》（元政规〔2022〕1号），向乡镇赋予行政执法事项共218项，现需要进行定期评估和动态调整赋权事项。</w:t>
      </w:r>
    </w:p>
    <w:p w14:paraId="45249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（二）评估工作开展情况</w:t>
      </w:r>
    </w:p>
    <w:p w14:paraId="1264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为继续深化乡镇综合行政执法体制改革，进一步完善政府职能，确保乡镇行政执法事项有序运行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，区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司法局会同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区编委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办对乡镇赋权承接和运行情况进行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调研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评估，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评估工作开展情况如下：</w:t>
      </w:r>
    </w:p>
    <w:p w14:paraId="6CF15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10"/>
          <w:kern w:val="2"/>
          <w:sz w:val="32"/>
          <w:szCs w:val="32"/>
          <w:lang w:val="en-US" w:eastAsia="zh-CN" w:bidi="ar-SA"/>
        </w:rPr>
        <w:t>1.自查评估。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联合区编委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下发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eastAsia="zh-CN"/>
        </w:rPr>
        <w:t>关于对赋予乡镇行政执法赋权事项调研评估的通知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各乡镇根据赋权事项实际运行情况，围绕承接能力、实施情况、实施效果、赋权前后行权情况、存在问题及工作建议等进行自我评估并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形成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报告。</w:t>
      </w:r>
    </w:p>
    <w:p w14:paraId="64AEB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10"/>
          <w:kern w:val="2"/>
          <w:sz w:val="32"/>
          <w:szCs w:val="32"/>
          <w:lang w:val="en-US" w:eastAsia="zh-CN" w:bidi="ar-SA"/>
        </w:rPr>
        <w:t>2.实地调研。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由区编委办、区司法局抽调人员组成调研组赴五个乡镇就乡镇赋权事项实地调研，开展乡镇赋权评估工作座谈。</w:t>
      </w:r>
    </w:p>
    <w:p w14:paraId="2D893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10"/>
          <w:kern w:val="2"/>
          <w:sz w:val="32"/>
          <w:szCs w:val="32"/>
          <w:lang w:val="en-US" w:eastAsia="zh-CN" w:bidi="ar-SA"/>
        </w:rPr>
        <w:t>3.征求意见。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司法局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和区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编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委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办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多方听取意见，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通过征求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乡镇和执法部门的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意见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，并于2025年3月15日至4月15日通过政府门户网站向社会征求意见，共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收集汇总意见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16条。经对赋权事项逐条</w:t>
      </w:r>
      <w:r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分析研判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，确定调整的行政执法事项共24项。2025年4月22日上午，傅永强副区长主持召开专题会议，听取了区司法局关于《三元区关于调整乡（镇）人民政府行政执法事项（第一批）的决定（送审稿）》起草情况的汇报。会议原则同意将《三元区关于调整乡（镇）人民政府行政执法事项（第一批）的决定（送审稿）》提交区政府常务会议审议。</w:t>
      </w:r>
    </w:p>
    <w:p w14:paraId="08846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二、文件主要内容</w:t>
      </w:r>
    </w:p>
    <w:p w14:paraId="3FA5C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在前期工作基础上，由区司法局起草、区编委办会稿，拟定《三元区关于调整乡（镇）人民政府行政执法事项（第一批）的决定（送审稿）》，拟回收部分专业技术强、认定困难、由区级行政执法部门集中行使更为高效的行政执法事项24项，其中涉及城市管理领域15项、林业领域2项、自然资源领域4项、消防救援领域1项、民族宗教与事务领域2项。目前，调整后仍有的194项行政执法事项由各乡镇人民政府继续行使。</w:t>
      </w:r>
    </w:p>
    <w:p w14:paraId="7DE5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jc w:val="both"/>
        <w:textAlignment w:val="auto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10"/>
          <w:sz w:val="32"/>
          <w:szCs w:val="32"/>
          <w:lang w:eastAsia="zh-CN"/>
        </w:rPr>
        <w:t>相关文件</w:t>
      </w:r>
      <w:r>
        <w:rPr>
          <w:rFonts w:hint="eastAsia" w:ascii="黑体" w:hAnsi="黑体" w:eastAsia="黑体" w:cs="黑体"/>
          <w:spacing w:val="10"/>
          <w:sz w:val="32"/>
          <w:szCs w:val="32"/>
        </w:rPr>
        <w:t>依据</w:t>
      </w:r>
    </w:p>
    <w:p w14:paraId="5CFD9F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（一）《福建省人民政府关于赋予乡镇人民政府、街道办事处部分行政处罚权的决定》（闽政文〔2022〕3号）明确要求：“县级人民政府应当定期评估，并根据评估情况对具体赋权清单进行适当调整”。</w:t>
      </w:r>
    </w:p>
    <w:p w14:paraId="25A980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 xml:space="preserve">（二）《三明市人民政府关于赋予乡镇人民政府部分行政处罚权的决定》（明政规〔2022〕1号）要求：“市县两级机构编制部门会同司法行政部门适时对乡镇（街道）赋权承接和运行情况进行跟踪，并定期组织评估”。 </w:t>
      </w:r>
    </w:p>
    <w:p w14:paraId="6468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-SA"/>
        </w:rPr>
        <w:t>（三）《三明市司法局 中共三明市委编办关于开展乡镇（街道）行政执法赋权事项评估调整的通知》（明司〔2024〕7号），要求各县（市、区）要在2024年内开展“对赋予乡镇（街道）的行政执法事项进行评估、调整”工作。</w:t>
      </w:r>
    </w:p>
    <w:p w14:paraId="71FD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38BDCC"/>
    <w:sectPr>
      <w:pgSz w:w="11906" w:h="16838"/>
      <w:pgMar w:top="2126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2A4FAA"/>
    <w:rsid w:val="4A1947CF"/>
    <w:rsid w:val="7BFF0EBC"/>
    <w:rsid w:val="ED73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1200</Characters>
  <Lines>0</Lines>
  <Paragraphs>0</Paragraphs>
  <TotalTime>1</TotalTime>
  <ScaleCrop>false</ScaleCrop>
  <LinksUpToDate>false</LinksUpToDate>
  <CharactersWithSpaces>1202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有梦想的咸鱼</cp:lastModifiedBy>
  <dcterms:modified xsi:type="dcterms:W3CDTF">2025-05-22T07:25:18Z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eyJoZGlkIjoiZjRiNjU2NGUxZTBlZWQ1MDRjMzQwZjBjY2ZlZGQ4MWIiLCJ1c2VySWQiOiIyOTIwNDk4MzAifQ==</vt:lpwstr>
  </property>
  <property fmtid="{D5CDD505-2E9C-101B-9397-08002B2CF9AE}" pid="4" name="ICV">
    <vt:lpwstr>9D2AA2F43EAD48BC9F809ED57FA802F4_12</vt:lpwstr>
  </property>
</Properties>
</file>