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BB3" w:rsidRDefault="0027333A">
      <w:pPr>
        <w:spacing w:after="0" w:line="360" w:lineRule="auto"/>
        <w:jc w:val="center"/>
        <w:rPr>
          <w:rFonts w:ascii="方正小标宋简体" w:eastAsia="方正小标宋简体" w:hAnsi="方正小标宋简体"/>
          <w:b/>
          <w:sz w:val="44"/>
          <w:lang w:eastAsia="zh-CN"/>
        </w:rPr>
      </w:pPr>
      <w:r>
        <w:rPr>
          <w:rFonts w:ascii="方正小标宋简体" w:eastAsia="方正小标宋简体" w:hAnsi="方正小标宋简体" w:hint="eastAsia"/>
          <w:b/>
          <w:sz w:val="44"/>
          <w:lang w:eastAsia="zh-CN"/>
        </w:rPr>
        <w:t>三元区“十五五”松材线虫病疫情防控</w:t>
      </w:r>
      <w:r>
        <w:rPr>
          <w:rFonts w:ascii="方正小标宋简体" w:eastAsia="方正小标宋简体" w:hAnsi="方正小标宋简体" w:hint="eastAsia"/>
          <w:b/>
          <w:sz w:val="44"/>
          <w:lang w:eastAsia="zh-CN"/>
        </w:rPr>
        <w:br/>
      </w:r>
      <w:r>
        <w:rPr>
          <w:rFonts w:ascii="方正小标宋简体" w:eastAsia="方正小标宋简体" w:hAnsi="方正小标宋简体" w:hint="eastAsia"/>
          <w:b/>
          <w:sz w:val="44"/>
          <w:lang w:eastAsia="zh-CN"/>
        </w:rPr>
        <w:t>攻坚行动实施方案</w:t>
      </w:r>
    </w:p>
    <w:p w:rsidR="00FD4BB3" w:rsidRDefault="0027333A">
      <w:pPr>
        <w:spacing w:after="0" w:line="360" w:lineRule="auto"/>
        <w:jc w:val="center"/>
        <w:rPr>
          <w:rFonts w:ascii="国标黑体-GB/T 2312" w:eastAsia="国标黑体-GB/T 2312" w:hAnsi="国标黑体-GB/T 2312" w:cs="国标黑体-GB/T 2312"/>
          <w:bCs/>
          <w:sz w:val="30"/>
          <w:szCs w:val="30"/>
          <w:lang w:eastAsia="zh-CN"/>
        </w:rPr>
      </w:pPr>
      <w:r>
        <w:rPr>
          <w:rFonts w:ascii="国标黑体-GB/T 2312" w:eastAsia="国标黑体-GB/T 2312" w:hAnsi="国标黑体-GB/T 2312" w:cs="国标黑体-GB/T 2312" w:hint="eastAsia"/>
          <w:bCs/>
          <w:sz w:val="30"/>
          <w:szCs w:val="30"/>
          <w:lang w:eastAsia="zh-CN"/>
        </w:rPr>
        <w:t>（</w:t>
      </w:r>
      <w:r>
        <w:rPr>
          <w:rFonts w:ascii="国标黑体-GB/T 2312" w:eastAsia="国标黑体-GB/T 2312" w:hAnsi="国标黑体-GB/T 2312" w:cs="国标黑体-GB/T 2312" w:hint="eastAsia"/>
          <w:bCs/>
          <w:sz w:val="30"/>
          <w:szCs w:val="30"/>
          <w:lang w:eastAsia="zh-CN"/>
        </w:rPr>
        <w:t>2026-2030</w:t>
      </w:r>
      <w:r>
        <w:rPr>
          <w:rFonts w:ascii="国标黑体-GB/T 2312" w:eastAsia="国标黑体-GB/T 2312" w:hAnsi="国标黑体-GB/T 2312" w:cs="国标黑体-GB/T 2312" w:hint="eastAsia"/>
          <w:bCs/>
          <w:sz w:val="30"/>
          <w:szCs w:val="30"/>
          <w:lang w:eastAsia="zh-CN"/>
        </w:rPr>
        <w:t>年</w:t>
      </w:r>
      <w:r>
        <w:rPr>
          <w:rFonts w:ascii="国标黑体-GB/T 2312" w:eastAsia="国标黑体-GB/T 2312" w:hAnsi="国标黑体-GB/T 2312" w:cs="国标黑体-GB/T 2312" w:hint="eastAsia"/>
          <w:bCs/>
          <w:sz w:val="30"/>
          <w:szCs w:val="30"/>
          <w:lang w:eastAsia="zh-CN"/>
        </w:rPr>
        <w:t>）</w:t>
      </w:r>
    </w:p>
    <w:p w:rsidR="00FD4BB3" w:rsidRDefault="0027333A" w:rsidP="00134A95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/>
          <w:color w:val="000000" w:themeColor="text1"/>
          <w:sz w:val="32"/>
          <w:szCs w:val="32"/>
          <w:lang w:eastAsia="zh-CN"/>
        </w:rPr>
        <w:t>一、前言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为深入贯彻国家、福建省、三明市“十五五”松材线虫病防控攻坚行动部署，落实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“压缩重疫区、拔除轻疫区、守好非疫区、扑灭新疫区”的“二十字”防控策略，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坚持“宜清则清、宜防则防、宜改则改、宜封则封”原则，立足三元区松林资源现状、疫情分布特点，统筹森林四库建设、国土绿化、生态修复，把疫点拔除、疫区摘帽作为核心攻坚目标，全面打赢松材线虫病防控攻坚战，筑牢三元区生态安全屏障，特制定本方案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b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/>
          <w:color w:val="000000" w:themeColor="text1"/>
          <w:sz w:val="32"/>
          <w:szCs w:val="32"/>
          <w:lang w:eastAsia="zh-CN"/>
        </w:rPr>
        <w:t>二、基本情况</w:t>
      </w:r>
      <w:r>
        <w:rPr>
          <w:rFonts w:ascii="国标仿宋-GB/T 2312" w:eastAsia="国标仿宋-GB/T 2312" w:hAnsi="国标仿宋-GB/T 2312" w:cs="国标仿宋-GB/T 2312" w:hint="eastAsia"/>
          <w:b/>
          <w:color w:val="000000" w:themeColor="text1"/>
          <w:sz w:val="32"/>
          <w:szCs w:val="32"/>
          <w:lang w:eastAsia="zh-CN"/>
        </w:rPr>
        <w:t xml:space="preserve"> 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（一）区位与松林概况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三元区下辖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乡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4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镇和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7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个街道，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是三明市主城区，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全区林地面积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144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万亩，森林蓄积量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1235.4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万立方米，森林覆盖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lastRenderedPageBreak/>
        <w:t>率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77.62%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；全区森林面积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 xml:space="preserve"> 133.5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万亩，其中马尾松等松类林地面积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13.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4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万亩，占全区林地面积的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10.03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%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；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全区松林呈斑块化分布，松墨天牛作为主要媒介昆虫，自然传播风险持续存在；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区内分布有三明莘口格氏栲省级自然保护区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和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东牙溪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、署沙溪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饮用水源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保护区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，生态区位十分重要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；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辖区工程建设、木材加工、苗木调运活动频繁，人为传播疫木风险突出，对疫点拔除工作带来较大压力。</w:t>
      </w:r>
    </w:p>
    <w:p w:rsidR="00FD4BB3" w:rsidRDefault="0027333A">
      <w:pPr>
        <w:numPr>
          <w:ilvl w:val="0"/>
          <w:numId w:val="7"/>
        </w:num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疫情疫点现状</w:t>
      </w:r>
    </w:p>
    <w:p w:rsidR="00FD4BB3" w:rsidRDefault="0027333A">
      <w:pPr>
        <w:numPr>
          <w:ilvl w:val="255"/>
          <w:numId w:val="0"/>
        </w:num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1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．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2025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年秋季专项调查疫情发生情况。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2025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年秋季专项调查，全区共有疫点乡镇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5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个，疫情发生面积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4295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亩、疫情小班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51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个，死亡松树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4348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株（其中病死松树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4246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株）。</w:t>
      </w:r>
    </w:p>
    <w:p w:rsidR="00FD4BB3" w:rsidRDefault="0027333A">
      <w:pPr>
        <w:numPr>
          <w:ilvl w:val="255"/>
          <w:numId w:val="0"/>
        </w:num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2.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当前疫情发生情况。截至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2026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年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7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月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30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日，全区松材线虫病发生面积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1296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亩、疫情小班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18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个，分布于岩前镇、莘口镇、富兴堡街道、列西街道等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4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个疫点乡镇、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8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个行政村。其中，上年度结转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999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亩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12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个小班，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2025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年秋季专项调查后新增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297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亩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6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个小班。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lastRenderedPageBreak/>
        <w:t>（三）“十四五”防控成效与现存短板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 xml:space="preserve"> 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“十四五”期间，我区全面落实林长制，压实属地防控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责任，构建网格化巡护体系，持续开展疫木除治、媒介昆虫防治、检疫执法，疫情总体可控，成功拔除荆西街道和洋溪镇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2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个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乡镇级疫点，实现疫点、病死松树数量阶段性下降，保障城区生态安全，为“十五五”开展疫点摘帽攻坚积累实践经验。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存在短板：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 xml:space="preserve"> 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1. 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零星疫点分散，部分偏远小班无法彻底清理，疫情反复反弹风险存在，疫点拔除巩固难度大；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2. 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纯松林占比高，治本改造推进偏慢，林分抗病能力不足，拔除后复感风险较高；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3. 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监测手段仍以地面巡护为主，天空地一体化监测覆盖不足，难以满足疫点拔除连续多年精准监测要求；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4. 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疫木全链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条闭环监管尚有薄弱环节，工程建设涉木检疫管控压力大，外部疫源输入威胁摘帽成果；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lastRenderedPageBreak/>
        <w:t>5. 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基层专业队伍力量不足，疫点拔除专项配套政策、激励机制不健全，资金投入模式较为单一，市场化筹资渠道偏少；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（四）攻坚形势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 xml:space="preserve"> 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对照省、市方案要求，三元区作为三明中心城区，必须守住城区周边、交通干线、重点生态敏感区防线。“十五五”期间核心任务是锁定现有轻型疫点，实施“一点一策”攻坚，分批推进疫点拔除摘帽；既要持续压缩存量疫情，严防新增疫点，同步推进松林结构改造，落实政策、资金、考核机制创新突破，保障拔除之后长期不反弹，实现治标向标本兼治转变。</w:t>
      </w:r>
    </w:p>
    <w:p w:rsidR="00FD4BB3" w:rsidRDefault="0027333A" w:rsidP="00134A95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/>
          <w:color w:val="000000" w:themeColor="text1"/>
          <w:sz w:val="32"/>
          <w:szCs w:val="32"/>
          <w:lang w:eastAsia="zh-CN"/>
        </w:rPr>
        <w:t>三、</w:t>
      </w:r>
      <w:r>
        <w:rPr>
          <w:rFonts w:ascii="国标仿宋-GB/T 2312" w:eastAsia="国标仿宋-GB/T 2312" w:hAnsi="国标仿宋-GB/T 2312" w:cs="国标仿宋-GB/T 2312" w:hint="eastAsia"/>
          <w:b/>
          <w:color w:val="000000" w:themeColor="text1"/>
          <w:sz w:val="32"/>
          <w:szCs w:val="32"/>
          <w:lang w:eastAsia="zh-CN"/>
        </w:rPr>
        <w:t>总体要求</w:t>
      </w:r>
    </w:p>
    <w:p w:rsidR="00FD4BB3" w:rsidRDefault="0027333A">
      <w:pPr>
        <w:spacing w:after="0" w:line="360" w:lineRule="auto"/>
        <w:ind w:firstLineChars="100" w:firstLine="320"/>
        <w:jc w:val="both"/>
        <w:rPr>
          <w:rFonts w:ascii="国标仿宋-GB/T 2312" w:eastAsia="国标仿宋-GB/T 2312" w:hAnsi="国标仿宋-GB/T 2312" w:cs="国标仿宋-GB/T 2312"/>
          <w:b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（一）指导思想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以习近平新时代中国特色社会主义思想为指导，贯彻落实国家林草局决策部署和省、市林业局工作要求，坚持依法治理、系统治理、科学治理，以林长制为抓手，贯彻“治、防、改，检、封、罚”综合防控措施，压实地方政府负责制，部门协同、上下联动，坚持分区施策、一乡一策，疫情防控和森林经营同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lastRenderedPageBreak/>
        <w:t>步推进。以疫情早发现、除治高质量、疫木严监管为重点，统筹疫情防控、生态修复、产业发展，强化责任落实、分区分类和监督管理。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紧扣三元区作为三明市中心城区所在地、沙溪流域重要生态屏障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、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三明莘口格氏栲省级自然保护区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和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东牙溪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、署沙溪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饮用水源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保护区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的生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态区位特点，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以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整体推进松林防治性采伐为主、严防输出的防控策略，全力以赴集中歼灭，确保“十五五”期末之前实现疫区拔除，守护三元绿水青山，维护国土生态安全和城区饮用水源安全。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（二）基本原则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 xml:space="preserve"> 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1. 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属地负责、林长主抓：落实地方政府主体责任，各级林长牵头抓总，责任落实到乡镇（街道）、村、小班、人头；把疫点拔除成效纳入林长制核心任务。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2. 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分区施策、分类攻坚：划分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攻坚区和防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控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区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，轻重区别对待，需除则除、需防则防，对新发疫点实行即时拔除，对现有疫点实行清单化管理、一点一策。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lastRenderedPageBreak/>
        <w:t>3. 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源头管控、联防联控：管住疫木采伐、运输、加工、利用全链条，与沙县区、大田县等毗邻区域开展跨区域联防，阻断疫源输入，保障摘帽成果。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4. 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标本兼治、生态优先：疫点除治拔除同步推进林分改造，降低纯松林比例，从生态层面降低疫情复发风险。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5. 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依法防控、机制创新：严格检疫执法，在采伐审批、资金投入、激励考核上突破体制机制堵点；运用智慧林业平台、无人机、遥感监测提升精准防控水平。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 xml:space="preserve"> </w:t>
      </w:r>
    </w:p>
    <w:p w:rsidR="00FD4BB3" w:rsidRDefault="0027333A" w:rsidP="00134A95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/>
          <w:color w:val="000000" w:themeColor="text1"/>
          <w:sz w:val="32"/>
          <w:szCs w:val="32"/>
          <w:lang w:eastAsia="zh-CN"/>
        </w:rPr>
        <w:t>四、目标任务</w:t>
      </w:r>
      <w:r>
        <w:rPr>
          <w:rFonts w:ascii="国标仿宋-GB/T 2312" w:eastAsia="国标仿宋-GB/T 2312" w:hAnsi="国标仿宋-GB/T 2312" w:cs="国标仿宋-GB/T 2312" w:hint="eastAsia"/>
          <w:b/>
          <w:color w:val="000000" w:themeColor="text1"/>
          <w:sz w:val="32"/>
          <w:szCs w:val="32"/>
          <w:lang w:eastAsia="zh-CN"/>
        </w:rPr>
        <w:t xml:space="preserve"> 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（一）总体目标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2029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年全区实现无疫情，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2030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年实现疫区拔除。即到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2030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年，全区疫情发生面积控制在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0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万亩，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疫点乡镇数量控制在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0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个，顺利通过省级查定验收，实现疫区拔除。全区攻坚目标见附表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（二）分阶段任务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仿宋_GB2312" w:hAnsi="仿宋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lastRenderedPageBreak/>
        <w:t>1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．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2026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年：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全区松材线虫病发生面积较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2025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年度下降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3%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以上，即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2024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年秋普发生面积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4766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亩，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2025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年秋季发生面积控制在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4624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亩以内；疫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情发生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乡镇控制在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5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个以下（含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5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个）；死亡松树数量控制在同比上一年度减少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3%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以上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，数量控制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在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3749</w:t>
      </w:r>
      <w:r>
        <w:rPr>
          <w:rFonts w:ascii="仿宋_GB2312" w:hAnsi="仿宋" w:hint="eastAsia"/>
          <w:color w:val="000000" w:themeColor="text1"/>
          <w:sz w:val="32"/>
          <w:szCs w:val="32"/>
          <w:lang w:eastAsia="zh-CN"/>
        </w:rPr>
        <w:t>株以下。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2.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2027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年：全区松材线虫病发生面积较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2025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年秋季专项调查面积下降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70%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以上，控制在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1300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亩以内；疫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情发生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乡镇控制在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4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个以内；死亡松树数量同比下降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15%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以上；新发生疫点自确定之日起，力争当年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拔除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。</w:t>
      </w:r>
    </w:p>
    <w:p w:rsidR="00FD4BB3" w:rsidRDefault="0027333A">
      <w:pPr>
        <w:spacing w:after="0" w:line="360" w:lineRule="auto"/>
        <w:ind w:firstLine="561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3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．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2028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年：疫情发生面积控制在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400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亩以内，疫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情发生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乡镇控制在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个以内，疫情扩散蔓延势头得到根本遏制，为全域无疫情奠定决定性基础。</w:t>
      </w:r>
    </w:p>
    <w:p w:rsidR="00FD4BB3" w:rsidRDefault="0027333A">
      <w:pPr>
        <w:spacing w:after="0" w:line="360" w:lineRule="auto"/>
        <w:ind w:firstLine="561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4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．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2029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年：全区实现无疫情，疫情发生面积、疫点乡镇数量、疫情小班数量均为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0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，所有疫情小班全部清除并完成除害处理，转入拔除成果观察巩固期。</w:t>
      </w:r>
    </w:p>
    <w:p w:rsidR="00FD4BB3" w:rsidRDefault="0027333A">
      <w:pPr>
        <w:spacing w:after="0" w:line="360" w:lineRule="auto"/>
        <w:ind w:firstLine="561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5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．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2030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年：保持全年无疫情，经省级查定验收确认，实现疫区拔除，并持续巩固拔除成果，严防疫情反弹输入。</w:t>
      </w:r>
    </w:p>
    <w:p w:rsidR="00FD4BB3" w:rsidRDefault="0027333A">
      <w:pPr>
        <w:spacing w:after="0" w:line="360" w:lineRule="auto"/>
        <w:ind w:firstLine="561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lastRenderedPageBreak/>
        <w:t>分阶段任务按疫情小班逐一销号管理。对新确诊的疫情小班，当年即完成除治性采伐和疫木除害处理，并自除治完成的次年起纳入无疫情观察期。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（三）分区任务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以乡（镇、街道）为基本单元，根据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2025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年秋季专项调查结果和疫情发生现状，将全区划分为攻坚区和防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控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区两类，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分区施策。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总体分区情况根据上年度秋季专项调查结果实行动态调整，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当前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分区情况见附表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1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．攻坚区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将岩前镇、陈大镇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、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莘口镇、富兴堡街道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和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列西街道等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现有疫情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乡镇（街道）列为攻坚区，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实施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全面清除疫情发生小班及毗邻小班、延伸小班的寄主松树，“十五五”期末之前实现拔除。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2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．防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控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区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将中村乡、洋溪镇、荆西街道、白沙街道、城关街道、列东街道、徐碧街道等未发生松材线虫病的乡镇（街道）列为风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lastRenderedPageBreak/>
        <w:t>险预防区。实施强化监测、应急除治、严防输入的防控策略，强化疫情早发现、早处置，持续巩固前期防控成效，“十五五”期间一旦发生疫情，即划入攻坚区。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/>
          <w:bCs/>
          <w:color w:val="000000" w:themeColor="text1"/>
          <w:sz w:val="32"/>
          <w:szCs w:val="32"/>
          <w:lang w:eastAsia="zh-CN"/>
        </w:rPr>
        <w:t>五、</w:t>
      </w:r>
      <w:r>
        <w:rPr>
          <w:rFonts w:ascii="国标仿宋-GB/T 2312" w:eastAsia="国标仿宋-GB/T 2312" w:hAnsi="国标仿宋-GB/T 2312" w:cs="国标仿宋-GB/T 2312" w:hint="eastAsia"/>
          <w:b/>
          <w:bCs/>
          <w:color w:val="000000" w:themeColor="text1"/>
          <w:sz w:val="32"/>
          <w:szCs w:val="32"/>
          <w:lang w:eastAsia="zh-CN"/>
        </w:rPr>
        <w:t>主要措施</w:t>
      </w:r>
    </w:p>
    <w:p w:rsidR="00FD4BB3" w:rsidRDefault="0027333A">
      <w:pPr>
        <w:spacing w:after="0" w:line="360" w:lineRule="auto"/>
        <w:ind w:firstLineChars="100" w:firstLine="32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（一）织密立体监测网络，夯实疫情感知能力。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统筹基层林业工作人员、护林员、社会化防治服务组织等力量，落实日常监测和专项调查。日常监测每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3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个月开展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次，秋季专项调查每年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9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—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11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月开展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次，对全区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13.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4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万亩松林及松树分布区实现调查覆盖率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100%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。全面应用林草生态网络感知系统“松材线虫病疫情防控监管平台”，依托全区“天空地”智慧林业体系和无人机巡护机场，广泛应用无人机巡查，鼓励开展卫星遥感监测，实现对格氏栲自然保护区、东牙溪水库水源地上游、城区周山、高速公路和高速铁路沿线、通信基站、电网及通信线路沿线、木材集散地周边、疫区毗邻地区等高风险区域的重点监控。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严格落实疫情确认、信息报告制度，强化疫情数据核实，摸清疫情底数。</w:t>
      </w:r>
    </w:p>
    <w:p w:rsidR="00FD4BB3" w:rsidRDefault="0027333A">
      <w:pPr>
        <w:spacing w:after="0" w:line="360" w:lineRule="auto"/>
        <w:ind w:firstLineChars="100" w:firstLine="32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lastRenderedPageBreak/>
        <w:t>（二）推行分区分类治理，实施精准差异除治。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根据省、市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十五五松材线虫病疫情防控攻坚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行动实施方案，三元区被列为轻型疫区，实施以松林改培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(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松林防治性采伐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)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为主，全区域整体推进、严防疫木输出的防控策略，集中力量开展歼灭除治。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依据总体分区和行动任务，结合各乡镇（街道）松林现状、疫情发生实际，推行差异化治理模式，将“宜清则清、宜防则防、宜改则改、宜封则封”相关措施精准落实到小班，做到清则到位、防则有效、改则彻底、封则有序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在攻坚区，以松林改培（松林防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治性采伐）为主，全面清除疫情发生小班及毗邻小班、延伸小班的寄主松树，积极探索整域推进措施，同步抓好死亡松树清理和媒介昆虫防治，集中歼灭疫情；防治性采伐小班涉及一级保护生态公益林的，在采伐审批之前按要求组织相关专家论证。在防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控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区，突出抓好疫情监测和零星疫情应急处置，一旦发现疫情立即划入攻坚区。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统筹疫情除治与森林“四库”联动试点区建设、森林抚育、低质低效林改造、城区周山“彩色森林”景观提升、国土绿化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lastRenderedPageBreak/>
        <w:t>示范等项目，协同推进疫情防控与生态修复，实现“山绿”到“山美”“山富”的转变。</w:t>
      </w:r>
    </w:p>
    <w:p w:rsidR="00FD4BB3" w:rsidRDefault="0027333A">
      <w:pPr>
        <w:spacing w:after="0" w:line="360" w:lineRule="auto"/>
        <w:ind w:firstLineChars="100" w:firstLine="32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（三）规范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零星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疫木处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置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，强化全链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条疫源管控。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零星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疫木除害处理措施包括粉碎（削片）、焚烧、旋切、钢丝网罩、套袋、热处理等方式。清理的疫木及直径超过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厘米的枝丫应在区内就地就近及时除害处理，集中除治期采伐的疫木应于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4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月底前运入指定除害处理场并完成除害处理，严禁入场疫木及加工剩余物未经除害处理再次转运出场；其余时间因项目建设、森林防火等特殊情形清理的疫木，应就地销毁或运至指定除害处理场当日完成除害处理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全面推广应用福建省智慧林业疫木监管平台，健全完善疫区山场采伐、调运登记、定点除害全链条工作机制。疫木启运前由采伐业主办理调运登记，生成唯一溯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源二维码，实行“一车一码（证）、车证对应”管理；疫木须于装运当日运达指定除害处理场，运输途中不得停留、不得擅自改变路线；指定除害处理场逐车核验签收，核对运输单号、车号牌与实际签收数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lastRenderedPageBreak/>
        <w:t>量并拍照留证；除害处理方式、数量、时间及现场影像通过系统报备归档，实现疫木从山场调运、装车运输、场点签收到除害处理的全流程闭环监管，确保来源可溯、去向可查、全程可控。指定除害处理场应在堆放区、加工处理区、成品堆放区、剩余物处理区等关键区域安装视频监控，监控记录保存不少于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30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日并向区林业主管部门提供联网视频监控账号。强化检疫执法，深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化行刑衔接，严厉打击违法违规采伐、运输、经营、加工、利用、储存疫木及其制品行为。</w:t>
      </w:r>
    </w:p>
    <w:p w:rsidR="00FD4BB3" w:rsidRDefault="0027333A">
      <w:pPr>
        <w:spacing w:after="0" w:line="360" w:lineRule="auto"/>
        <w:ind w:firstLineChars="100" w:firstLine="32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（四）构建联防联控体系，压实各方防控责任。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发挥林长制统领作用，落实松材线虫病疫情防控地方政府负责制，压实属地防控主体责任，构建权责清晰、规范高效、保障有力的责任体系。按照十三部门《关于转发进一步加强松材线虫病疫情防控工作的通知》（闽林文〔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2021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〕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62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号）要求，落实各相关部门责任，强化联防联控，突出抓好高速公路、高速铁路及国省干道两侧疫情防控，落实工程项目使用松木材料通报和用毕回收或销毁规定。加强与毗邻的沙县区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、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永安市、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lastRenderedPageBreak/>
        <w:t>大田县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、明溪县等县（市、区）的区域联防联控机制建设，定期开展联合监测、联合执法、信息共享，严防疫情交叉传播。</w:t>
      </w:r>
    </w:p>
    <w:p w:rsidR="00FD4BB3" w:rsidRDefault="0027333A">
      <w:pPr>
        <w:spacing w:after="0" w:line="360" w:lineRule="auto"/>
        <w:ind w:firstLineChars="100" w:firstLine="32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（五）严格过程环节监管，提升防控成效质量。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紧盯监测调查准确性、防控措施科学性、作业实施规范性、疫木管控严密性等关键环节，强化服务指导，加强过程质量监管。落实县级自查、市级复查机制，开展除治质量调查和防治成效评估，实施重点区域和重大项目评估评价，强化结果运用。加强社会化防治服务组织行业监管，促进行业自律和规范发展。加强跟踪问效，对责任不落实、处置不力、工作进度滞后的，将根据有关规定采取提醒、督办、约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谈等惩戒措施，强化问题整改。</w:t>
      </w:r>
    </w:p>
    <w:p w:rsidR="00FD4BB3" w:rsidRDefault="0027333A" w:rsidP="00134A95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/>
          <w:color w:val="000000" w:themeColor="text1"/>
          <w:sz w:val="32"/>
          <w:szCs w:val="32"/>
          <w:lang w:eastAsia="zh-CN"/>
        </w:rPr>
        <w:t>六</w:t>
      </w:r>
      <w:r>
        <w:rPr>
          <w:rFonts w:ascii="国标仿宋-GB/T 2312" w:eastAsia="国标仿宋-GB/T 2312" w:hAnsi="国标仿宋-GB/T 2312" w:cs="国标仿宋-GB/T 2312" w:hint="eastAsia"/>
          <w:b/>
          <w:color w:val="000000" w:themeColor="text1"/>
          <w:sz w:val="32"/>
          <w:szCs w:val="32"/>
          <w:lang w:eastAsia="zh-CN"/>
        </w:rPr>
        <w:t>、政策创新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针对三元区作为老疫区、交通便利区域的易采林分已基本采伐完毕，剩余疫情林分分布零星、地形复杂、采伐难度和成本明显上升的实际，在依法依规的前提下，从除治方式、处置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lastRenderedPageBreak/>
        <w:t>路径、资金保障、精准施策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几个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方面探索切合三元区的创新做法，为如期实现疫区拔除提供支撑。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</w:rPr>
        <w:t>（一）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全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</w:rPr>
        <w:t>域推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行</w:t>
      </w: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</w:rPr>
        <w:t>免林地清理机制。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三元区是省定轻型疫区，松林改培（松林防治性采伐）整体推进的连片山场，实行免林地清理的要求，不再进行采伐迹地清理、采伐剩余物逐株清除，不再将迹地清理作为强制性验收内容。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（二）创新零星疫木处置一体化模式。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FF0000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针对剩余疫情林分单块面积小、分布分散、山路条件差的特点，改变传统以采伐木材、下山运输为主要环节的组织方式，推行以无人机调运疫木就近处置为主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，减少林分损坏。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对不具备无人机作业条件的区域，采用粉碎、烧毁、钢丝网罩等方式处理。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（三）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财政资金机制创新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 xml:space="preserve"> 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将疫情防控资金纳入区级财政预算予以保障，统筹林业有害生物防治补助、森林生态效益补偿、国土绿化试点示范、森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lastRenderedPageBreak/>
        <w:t>林质量精准提升等各类涉林资金，建立“基础保障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+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摘帽专项奖励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+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多元筹资”四级资金体系，改变传统资金拨付模式，将资金成效与疫点拔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除质量直接挂钩。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 xml:space="preserve"> 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1. 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基础常态化预算：监测、巡护、诱捕、生物防治、检疫执法经费足额纳入区财政年度预算，保障日常防控稳定运行。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2. 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设立疫点拔除摘帽专项奖励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对按期成功完成疫点拔除、通过省级查定销号的乡镇（街道），区级给予专项摘帽奖补资金，奖励资金专项用于乡镇后续监测、松林抚育、群防宣传；对攻坚成效突出的技术人员、护林队伍予以绩效激励。未按期完成、疫情反弹复燃，取消奖励，纳入林长制负面清单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3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. 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市场化减负模式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推行疫木除治项目打包招标，引入专业社会化防治企业，疫木资源化利用收益反向抵扣除治成本，减少财政直接支出。配套落实林农补助政策，疫木采伐补偿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+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迹地更新造林补贴并行，化解林地纠纷，减少林农阻力。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lastRenderedPageBreak/>
        <w:t>4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. 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拓宽筹资渠道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①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积极申报省、市松材线虫病专项补助资金，优先申报松林改造、储备林、国土绿化项目，多项目资金统筹整合；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②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用好用足森林综合保险、林业特色保险和各级财政补助政策，理顺赔付渠道与使用方式，解决除治资金“看得见、用不上、到位慢”的问题，提高资金使用效益。</w:t>
      </w:r>
    </w:p>
    <w:p w:rsidR="00FD4BB3" w:rsidRDefault="0027333A" w:rsidP="00134A95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/>
          <w:color w:val="000000" w:themeColor="text1"/>
          <w:sz w:val="32"/>
          <w:szCs w:val="32"/>
          <w:lang w:eastAsia="zh-CN"/>
        </w:rPr>
        <w:t>七</w:t>
      </w:r>
      <w:r>
        <w:rPr>
          <w:rFonts w:ascii="国标仿宋-GB/T 2312" w:eastAsia="国标仿宋-GB/T 2312" w:hAnsi="国标仿宋-GB/T 2312" w:cs="国标仿宋-GB/T 2312" w:hint="eastAsia"/>
          <w:b/>
          <w:color w:val="000000" w:themeColor="text1"/>
          <w:sz w:val="32"/>
          <w:szCs w:val="32"/>
          <w:lang w:eastAsia="zh-CN"/>
        </w:rPr>
        <w:t>、组织保障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（一）加强组织领导。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成立三元区松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材线虫病防控攻坚工作专班，负责全区松材线虫病防控工作的组织领导、统筹协调和督促检查，确保“十五五”期末实现疫区拔除攻坚目标。专班由区政府主要领导任组长，分管领导任副组长，政府办、林业、财政、公安、交通、自然资源、水利、应急、生态环境等部门和各乡（镇）人民政府、街道办事处、国有林场主要负责人为成员。工作专班办公室设在区林业局，由区林业局局长兼任办公室主任，专班人员从国有林业单位抽调。各乡（镇、街道）要落实属地职责，指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lastRenderedPageBreak/>
        <w:t>定一名人员负责防控工作，并将防控任务逐级分解、落实到山头地块和具体责任人。在疫情防控关键期，执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行每月调度制度，并不定期开展防控协调分析会，推进防控工作。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（二）夯实要素保障。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把疫情防控经费纳入区级财政预算，积极申请省级以上林业有害生物防治补助项目、资金，推动森林综合保险加快办结，鼓励和引导社会资本积极参与疫情防控，规范项目资金事前规划、事中监管、事后评价。积极推广应用松材线虫病防治新技术、新药剂，鼓励应用靶向药剂及虫线双杀药剂防治。加强基层干部、生态护林员、社会化防治服务组织的业务指导和技能培训，提升一线从业人员业务水平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bCs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（三）突出试点引领。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立足三元区作为省级林业执法改革试点、全国首笔林票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2.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0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交易落地的改革优势，围绕整域推进免林地清理、零星疫木一体化处置、保险与补贴统筹等创新做法，加强跟踪评估，及时总结经验，形成可复制、可推广的制度性成果。发挥三元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lastRenderedPageBreak/>
        <w:t>区林业经营主体活跃、林票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2.0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先行先试的优势，探索“防控＋经营”联动机制，引导国有林场、林业合作社、林票持有主体参与松林改培和采伐迹地更新，推动疫情防控与森林质量提升、林农增收协同推进，为全市疫情防控工作提供示范和引领。</w:t>
      </w:r>
    </w:p>
    <w:p w:rsidR="00FD4BB3" w:rsidRDefault="0027333A">
      <w:pPr>
        <w:spacing w:after="0" w:line="360" w:lineRule="auto"/>
        <w:ind w:firstLineChars="200" w:firstLine="64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bCs/>
          <w:color w:val="000000" w:themeColor="text1"/>
          <w:sz w:val="32"/>
          <w:szCs w:val="32"/>
          <w:lang w:eastAsia="zh-CN"/>
        </w:rPr>
        <w:t>（四）强化宣传引导。</w:t>
      </w:r>
    </w:p>
    <w:p w:rsidR="00FD4BB3" w:rsidRDefault="0027333A">
      <w:pPr>
        <w:spacing w:after="0" w:line="360" w:lineRule="auto"/>
        <w:ind w:firstLine="560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充分发挥主流媒体和新媒体作用，采用群众喜闻乐见的形式，普及疫情防控法律法规和科学知识，同时加强舆情监测引导，主动回应社会关切，营造全社会理解、支持疫情防控工作的良好氛围。</w:t>
      </w:r>
    </w:p>
    <w:p w:rsidR="00FD4BB3" w:rsidRDefault="00FD4BB3">
      <w:pPr>
        <w:spacing w:after="0" w:line="360" w:lineRule="auto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</w:p>
    <w:p w:rsidR="00FD4BB3" w:rsidRDefault="00FD4BB3">
      <w:pPr>
        <w:spacing w:after="0" w:line="360" w:lineRule="auto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</w:p>
    <w:p w:rsidR="00FD4BB3" w:rsidRDefault="0027333A">
      <w:pPr>
        <w:spacing w:after="0" w:line="360" w:lineRule="auto"/>
        <w:jc w:val="both"/>
        <w:rPr>
          <w:rFonts w:ascii="国标仿宋-GB/T 2312" w:eastAsia="国标仿宋-GB/T 2312" w:hAnsi="国标仿宋-GB/T 2312" w:cs="国标仿宋-GB/T 2312"/>
          <w:color w:val="000000" w:themeColor="text1"/>
          <w:sz w:val="32"/>
          <w:szCs w:val="32"/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附表：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1.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三元区“十五五”松材线虫病疫情防控攻坚行动目标</w:t>
      </w:r>
    </w:p>
    <w:p w:rsidR="00FD4BB3" w:rsidRDefault="0027333A">
      <w:pPr>
        <w:spacing w:after="0" w:line="360" w:lineRule="auto"/>
        <w:rPr>
          <w:lang w:eastAsia="zh-CN"/>
        </w:rPr>
      </w:pP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 xml:space="preserve">      2.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三元区“十五五”松材线虫病疫情防控总体分区（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2026</w:t>
      </w:r>
      <w:r>
        <w:rPr>
          <w:rFonts w:ascii="国标仿宋-GB/T 2312" w:eastAsia="国标仿宋-GB/T 2312" w:hAnsi="国标仿宋-GB/T 2312" w:cs="国标仿宋-GB/T 2312" w:hint="eastAsia"/>
          <w:color w:val="000000" w:themeColor="text1"/>
          <w:sz w:val="32"/>
          <w:szCs w:val="32"/>
          <w:lang w:eastAsia="zh-CN"/>
        </w:rPr>
        <w:t>年度）</w:t>
      </w:r>
      <w:r>
        <w:rPr>
          <w:lang w:eastAsia="zh-CN"/>
        </w:rPr>
        <w:br w:type="page"/>
      </w:r>
    </w:p>
    <w:p w:rsidR="00FD4BB3" w:rsidRDefault="0027333A">
      <w:pPr>
        <w:jc w:val="both"/>
        <w:rPr>
          <w:sz w:val="24"/>
          <w:szCs w:val="24"/>
          <w:lang w:eastAsia="zh-CN"/>
        </w:rPr>
      </w:pPr>
      <w:r>
        <w:rPr>
          <w:rFonts w:ascii="仿宋_GB2312" w:hAnsi="仿宋_GB2312" w:hint="eastAsia"/>
          <w:b/>
          <w:sz w:val="24"/>
          <w:szCs w:val="24"/>
          <w:lang w:eastAsia="zh-CN"/>
        </w:rPr>
        <w:lastRenderedPageBreak/>
        <w:t>附表</w:t>
      </w:r>
      <w:r>
        <w:rPr>
          <w:rFonts w:ascii="仿宋_GB2312" w:hAnsi="仿宋_GB2312" w:hint="eastAsia"/>
          <w:b/>
          <w:sz w:val="24"/>
          <w:szCs w:val="24"/>
          <w:lang w:eastAsia="zh-CN"/>
        </w:rPr>
        <w:t>1</w:t>
      </w:r>
    </w:p>
    <w:p w:rsidR="00FD4BB3" w:rsidRDefault="0027333A">
      <w:pPr>
        <w:jc w:val="center"/>
        <w:rPr>
          <w:lang w:eastAsia="zh-CN"/>
        </w:rPr>
      </w:pPr>
      <w:r>
        <w:rPr>
          <w:rFonts w:ascii="黑体" w:eastAsia="黑体" w:hAnsi="黑体" w:hint="eastAsia"/>
          <w:b/>
          <w:sz w:val="32"/>
          <w:lang w:eastAsia="zh-CN"/>
        </w:rPr>
        <w:t>三元区“十五五”松材线虫病疫情防控攻坚行动目标</w:t>
      </w:r>
    </w:p>
    <w:tbl>
      <w:tblPr>
        <w:tblStyle w:val="ae"/>
        <w:tblW w:w="0" w:type="auto"/>
        <w:jc w:val="center"/>
        <w:tblLook w:val="04A0"/>
      </w:tblPr>
      <w:tblGrid>
        <w:gridCol w:w="2158"/>
        <w:gridCol w:w="2158"/>
        <w:gridCol w:w="2158"/>
        <w:gridCol w:w="2158"/>
      </w:tblGrid>
      <w:tr w:rsidR="00FD4BB3">
        <w:trPr>
          <w:jc w:val="center"/>
        </w:trPr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b/>
                <w:sz w:val="22"/>
              </w:rPr>
              <w:t>指标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b/>
                <w:sz w:val="22"/>
              </w:rPr>
              <w:t>期初基期</w:t>
            </w:r>
            <w:r>
              <w:rPr>
                <w:rFonts w:ascii="仿宋_GB2312" w:hAnsi="仿宋_GB2312"/>
                <w:b/>
                <w:sz w:val="22"/>
              </w:rPr>
              <w:br/>
            </w:r>
            <w:r>
              <w:rPr>
                <w:rFonts w:ascii="仿宋_GB2312" w:hAnsi="仿宋_GB2312" w:hint="eastAsia"/>
                <w:b/>
                <w:sz w:val="22"/>
              </w:rPr>
              <w:t>（</w:t>
            </w:r>
            <w:r>
              <w:rPr>
                <w:rFonts w:ascii="仿宋_GB2312" w:hAnsi="仿宋_GB2312" w:hint="eastAsia"/>
                <w:b/>
                <w:sz w:val="22"/>
              </w:rPr>
              <w:t>2025</w:t>
            </w:r>
            <w:r>
              <w:rPr>
                <w:rFonts w:ascii="仿宋_GB2312" w:hAnsi="仿宋_GB2312" w:hint="eastAsia"/>
                <w:b/>
                <w:sz w:val="22"/>
              </w:rPr>
              <w:t>年）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b/>
                <w:sz w:val="22"/>
              </w:rPr>
              <w:t>中期指标</w:t>
            </w:r>
            <w:r>
              <w:rPr>
                <w:rFonts w:ascii="仿宋_GB2312" w:hAnsi="仿宋_GB2312"/>
                <w:b/>
                <w:sz w:val="22"/>
              </w:rPr>
              <w:br/>
            </w:r>
            <w:r>
              <w:rPr>
                <w:rFonts w:ascii="仿宋_GB2312" w:hAnsi="仿宋_GB2312" w:hint="eastAsia"/>
                <w:b/>
                <w:sz w:val="22"/>
              </w:rPr>
              <w:t>（</w:t>
            </w:r>
            <w:r>
              <w:rPr>
                <w:rFonts w:ascii="仿宋_GB2312" w:hAnsi="仿宋_GB2312" w:hint="eastAsia"/>
                <w:b/>
                <w:sz w:val="22"/>
              </w:rPr>
              <w:t>2029</w:t>
            </w:r>
            <w:r>
              <w:rPr>
                <w:rFonts w:ascii="仿宋_GB2312" w:hAnsi="仿宋_GB2312" w:hint="eastAsia"/>
                <w:b/>
                <w:sz w:val="22"/>
              </w:rPr>
              <w:t>年）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b/>
                <w:sz w:val="22"/>
              </w:rPr>
              <w:t>期末控制指标</w:t>
            </w:r>
            <w:r>
              <w:rPr>
                <w:rFonts w:ascii="仿宋_GB2312" w:hAnsi="仿宋_GB2312"/>
                <w:b/>
                <w:sz w:val="22"/>
              </w:rPr>
              <w:br/>
            </w:r>
            <w:r>
              <w:rPr>
                <w:rFonts w:ascii="仿宋_GB2312" w:hAnsi="仿宋_GB2312" w:hint="eastAsia"/>
                <w:b/>
                <w:sz w:val="22"/>
              </w:rPr>
              <w:t>（</w:t>
            </w:r>
            <w:r>
              <w:rPr>
                <w:rFonts w:ascii="仿宋_GB2312" w:hAnsi="仿宋_GB2312" w:hint="eastAsia"/>
                <w:b/>
                <w:sz w:val="22"/>
              </w:rPr>
              <w:t>2030</w:t>
            </w:r>
            <w:r>
              <w:rPr>
                <w:rFonts w:ascii="仿宋_GB2312" w:hAnsi="仿宋_GB2312" w:hint="eastAsia"/>
                <w:b/>
                <w:sz w:val="22"/>
              </w:rPr>
              <w:t>年）</w:t>
            </w:r>
          </w:p>
        </w:tc>
      </w:tr>
      <w:tr w:rsidR="00FD4BB3">
        <w:trPr>
          <w:jc w:val="center"/>
        </w:trPr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sz w:val="22"/>
              </w:rPr>
              <w:t>疫情发生面积（亩）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/>
                <w:sz w:val="22"/>
              </w:rPr>
              <w:t>4295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sz w:val="22"/>
              </w:rPr>
              <w:t>0</w:t>
            </w:r>
            <w:r>
              <w:rPr>
                <w:rFonts w:ascii="仿宋_GB2312" w:hAnsi="仿宋_GB2312" w:hint="eastAsia"/>
                <w:sz w:val="22"/>
              </w:rPr>
              <w:t>（无疫情）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sz w:val="22"/>
              </w:rPr>
              <w:t>0</w:t>
            </w:r>
            <w:r>
              <w:rPr>
                <w:rFonts w:ascii="仿宋_GB2312" w:hAnsi="仿宋_GB2312" w:hint="eastAsia"/>
                <w:sz w:val="22"/>
              </w:rPr>
              <w:t>（拔除）</w:t>
            </w:r>
          </w:p>
        </w:tc>
      </w:tr>
      <w:tr w:rsidR="00FD4BB3">
        <w:trPr>
          <w:jc w:val="center"/>
        </w:trPr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sz w:val="22"/>
              </w:rPr>
              <w:t>疫点乡镇数量（个）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/>
                <w:sz w:val="22"/>
              </w:rPr>
              <w:t>5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/>
                <w:sz w:val="22"/>
              </w:rPr>
              <w:t>0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/>
                <w:sz w:val="22"/>
              </w:rPr>
              <w:t>0</w:t>
            </w:r>
          </w:p>
        </w:tc>
      </w:tr>
      <w:tr w:rsidR="00FD4BB3">
        <w:trPr>
          <w:jc w:val="center"/>
        </w:trPr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sz w:val="22"/>
              </w:rPr>
              <w:t>疫情小班数量（个）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/>
                <w:sz w:val="22"/>
              </w:rPr>
              <w:t>51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/>
                <w:sz w:val="22"/>
              </w:rPr>
              <w:t>0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/>
                <w:sz w:val="22"/>
              </w:rPr>
              <w:t>0</w:t>
            </w:r>
          </w:p>
        </w:tc>
      </w:tr>
      <w:tr w:rsidR="00FD4BB3">
        <w:trPr>
          <w:jc w:val="center"/>
        </w:trPr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sz w:val="22"/>
              </w:rPr>
              <w:t>死亡松树数量（株）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/>
                <w:sz w:val="22"/>
              </w:rPr>
              <w:t>4348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sz w:val="22"/>
              </w:rPr>
              <w:t>持续下降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sz w:val="22"/>
              </w:rPr>
              <w:t>持续下降</w:t>
            </w:r>
          </w:p>
        </w:tc>
      </w:tr>
      <w:tr w:rsidR="00FD4BB3">
        <w:trPr>
          <w:jc w:val="center"/>
        </w:trPr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sz w:val="22"/>
              </w:rPr>
              <w:t>拔除进度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/>
                <w:sz w:val="22"/>
              </w:rPr>
              <w:t>—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sz w:val="22"/>
              </w:rPr>
              <w:t>实现无疫情</w:t>
            </w:r>
          </w:p>
        </w:tc>
        <w:tc>
          <w:tcPr>
            <w:tcW w:w="2158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sz w:val="22"/>
              </w:rPr>
              <w:t>实现疫区拔除</w:t>
            </w:r>
          </w:p>
        </w:tc>
      </w:tr>
    </w:tbl>
    <w:p w:rsidR="00FD4BB3" w:rsidRDefault="0027333A">
      <w:pPr>
        <w:rPr>
          <w:lang w:eastAsia="zh-CN"/>
        </w:rPr>
      </w:pPr>
      <w:r>
        <w:rPr>
          <w:rFonts w:ascii="仿宋_GB2312" w:hAnsi="仿宋_GB2312" w:hint="eastAsia"/>
          <w:sz w:val="22"/>
          <w:lang w:eastAsia="zh-CN"/>
        </w:rPr>
        <w:t>注：</w:t>
      </w:r>
      <w:r>
        <w:rPr>
          <w:rFonts w:ascii="仿宋_GB2312" w:hAnsi="仿宋_GB2312" w:hint="eastAsia"/>
          <w:sz w:val="22"/>
          <w:lang w:eastAsia="zh-CN"/>
        </w:rPr>
        <w:t>1.</w:t>
      </w:r>
      <w:r>
        <w:rPr>
          <w:rFonts w:ascii="仿宋_GB2312" w:hAnsi="仿宋_GB2312" w:hint="eastAsia"/>
          <w:sz w:val="22"/>
          <w:lang w:eastAsia="zh-CN"/>
        </w:rPr>
        <w:t>期初基期采用</w:t>
      </w:r>
      <w:r>
        <w:rPr>
          <w:rFonts w:ascii="仿宋_GB2312" w:hAnsi="仿宋_GB2312" w:hint="eastAsia"/>
          <w:sz w:val="22"/>
          <w:lang w:eastAsia="zh-CN"/>
        </w:rPr>
        <w:t>2025</w:t>
      </w:r>
      <w:r>
        <w:rPr>
          <w:rFonts w:ascii="仿宋_GB2312" w:hAnsi="仿宋_GB2312" w:hint="eastAsia"/>
          <w:sz w:val="22"/>
          <w:lang w:eastAsia="zh-CN"/>
        </w:rPr>
        <w:t>年秋季专项调查最新数据；</w:t>
      </w:r>
      <w:r>
        <w:rPr>
          <w:rFonts w:ascii="仿宋_GB2312" w:hAnsi="仿宋_GB2312"/>
          <w:sz w:val="22"/>
          <w:lang w:eastAsia="zh-CN"/>
        </w:rPr>
        <w:br/>
      </w:r>
      <w:r>
        <w:rPr>
          <w:rFonts w:ascii="仿宋_GB2312" w:hAnsi="仿宋_GB2312" w:hint="eastAsia"/>
          <w:sz w:val="22"/>
          <w:lang w:eastAsia="zh-CN"/>
        </w:rPr>
        <w:t xml:space="preserve">      2.</w:t>
      </w:r>
      <w:r>
        <w:rPr>
          <w:rFonts w:ascii="仿宋_GB2312" w:hAnsi="仿宋_GB2312" w:hint="eastAsia"/>
          <w:sz w:val="22"/>
          <w:lang w:eastAsia="zh-CN"/>
        </w:rPr>
        <w:t>三元区列为轻型疫区，</w:t>
      </w:r>
      <w:r>
        <w:rPr>
          <w:rFonts w:ascii="仿宋_GB2312" w:hAnsi="仿宋_GB2312" w:hint="eastAsia"/>
          <w:sz w:val="22"/>
          <w:lang w:eastAsia="zh-CN"/>
        </w:rPr>
        <w:t>2029</w:t>
      </w:r>
      <w:r>
        <w:rPr>
          <w:rFonts w:ascii="仿宋_GB2312" w:hAnsi="仿宋_GB2312" w:hint="eastAsia"/>
          <w:sz w:val="22"/>
          <w:lang w:eastAsia="zh-CN"/>
        </w:rPr>
        <w:t>年实现全区无疫情，</w:t>
      </w:r>
      <w:r>
        <w:rPr>
          <w:rFonts w:ascii="仿宋_GB2312" w:hAnsi="仿宋_GB2312" w:hint="eastAsia"/>
          <w:sz w:val="22"/>
          <w:lang w:eastAsia="zh-CN"/>
        </w:rPr>
        <w:t>2030</w:t>
      </w:r>
      <w:r>
        <w:rPr>
          <w:rFonts w:ascii="仿宋_GB2312" w:hAnsi="仿宋_GB2312" w:hint="eastAsia"/>
          <w:sz w:val="22"/>
          <w:lang w:eastAsia="zh-CN"/>
        </w:rPr>
        <w:t>年实现疫区拔除，即疫点数量、疫情发生面积均为</w:t>
      </w:r>
      <w:r>
        <w:rPr>
          <w:rFonts w:ascii="仿宋_GB2312" w:hAnsi="仿宋_GB2312" w:hint="eastAsia"/>
          <w:sz w:val="22"/>
          <w:lang w:eastAsia="zh-CN"/>
        </w:rPr>
        <w:t>0</w:t>
      </w:r>
      <w:r>
        <w:rPr>
          <w:rFonts w:ascii="仿宋_GB2312" w:hAnsi="仿宋_GB2312" w:hint="eastAsia"/>
          <w:sz w:val="22"/>
          <w:lang w:eastAsia="zh-CN"/>
        </w:rPr>
        <w:t>；</w:t>
      </w:r>
      <w:r>
        <w:rPr>
          <w:rFonts w:ascii="仿宋_GB2312" w:hAnsi="仿宋_GB2312"/>
          <w:sz w:val="22"/>
          <w:lang w:eastAsia="zh-CN"/>
        </w:rPr>
        <w:br/>
      </w:r>
      <w:r>
        <w:rPr>
          <w:rFonts w:ascii="仿宋_GB2312" w:hAnsi="仿宋_GB2312" w:hint="eastAsia"/>
          <w:sz w:val="22"/>
          <w:lang w:eastAsia="zh-CN"/>
        </w:rPr>
        <w:t xml:space="preserve">      3.</w:t>
      </w:r>
      <w:r>
        <w:rPr>
          <w:rFonts w:ascii="仿宋_GB2312" w:hAnsi="仿宋_GB2312" w:hint="eastAsia"/>
          <w:sz w:val="22"/>
          <w:lang w:eastAsia="zh-CN"/>
        </w:rPr>
        <w:t>总体目标依据《“十五五”三明市松材线虫病疫情防控攻坚行动实施方案》确定。</w:t>
      </w:r>
    </w:p>
    <w:p w:rsidR="00FD4BB3" w:rsidRDefault="00FD4BB3">
      <w:pPr>
        <w:jc w:val="both"/>
        <w:rPr>
          <w:rFonts w:ascii="仿宋_GB2312" w:hAnsi="仿宋_GB2312"/>
          <w:b/>
          <w:sz w:val="24"/>
          <w:szCs w:val="24"/>
          <w:lang w:eastAsia="zh-CN"/>
        </w:rPr>
      </w:pPr>
    </w:p>
    <w:p w:rsidR="00FD4BB3" w:rsidRDefault="00FD4BB3">
      <w:pPr>
        <w:jc w:val="both"/>
        <w:rPr>
          <w:rFonts w:ascii="仿宋_GB2312" w:hAnsi="仿宋_GB2312"/>
          <w:b/>
          <w:sz w:val="24"/>
          <w:szCs w:val="24"/>
          <w:lang w:eastAsia="zh-CN"/>
        </w:rPr>
      </w:pPr>
      <w:bookmarkStart w:id="0" w:name="_GoBack"/>
      <w:bookmarkEnd w:id="0"/>
    </w:p>
    <w:p w:rsidR="00FD4BB3" w:rsidRDefault="0027333A">
      <w:pPr>
        <w:jc w:val="both"/>
        <w:rPr>
          <w:sz w:val="24"/>
          <w:szCs w:val="24"/>
          <w:lang w:eastAsia="zh-CN"/>
        </w:rPr>
      </w:pPr>
      <w:r>
        <w:rPr>
          <w:rFonts w:ascii="仿宋_GB2312" w:hAnsi="仿宋_GB2312" w:hint="eastAsia"/>
          <w:b/>
          <w:sz w:val="24"/>
          <w:szCs w:val="24"/>
          <w:lang w:eastAsia="zh-CN"/>
        </w:rPr>
        <w:t>附表</w:t>
      </w:r>
      <w:r>
        <w:rPr>
          <w:rFonts w:ascii="仿宋_GB2312" w:hAnsi="仿宋_GB2312" w:hint="eastAsia"/>
          <w:b/>
          <w:sz w:val="24"/>
          <w:szCs w:val="24"/>
          <w:lang w:eastAsia="zh-CN"/>
        </w:rPr>
        <w:t>2</w:t>
      </w:r>
    </w:p>
    <w:p w:rsidR="00FD4BB3" w:rsidRDefault="0027333A">
      <w:pPr>
        <w:jc w:val="center"/>
        <w:rPr>
          <w:sz w:val="30"/>
          <w:szCs w:val="30"/>
          <w:lang w:eastAsia="zh-CN"/>
        </w:rPr>
      </w:pPr>
      <w:r>
        <w:rPr>
          <w:rFonts w:ascii="黑体" w:eastAsia="黑体" w:hAnsi="黑体" w:hint="eastAsia"/>
          <w:b/>
          <w:sz w:val="30"/>
          <w:szCs w:val="30"/>
          <w:lang w:eastAsia="zh-CN"/>
        </w:rPr>
        <w:t>三元区“十五五”松材线虫病疫情防控总体分区（</w:t>
      </w:r>
      <w:r>
        <w:rPr>
          <w:rFonts w:ascii="黑体" w:eastAsia="黑体" w:hAnsi="黑体" w:hint="eastAsia"/>
          <w:b/>
          <w:sz w:val="30"/>
          <w:szCs w:val="30"/>
          <w:lang w:eastAsia="zh-CN"/>
        </w:rPr>
        <w:t>2026</w:t>
      </w:r>
      <w:r>
        <w:rPr>
          <w:rFonts w:ascii="黑体" w:eastAsia="黑体" w:hAnsi="黑体" w:hint="eastAsia"/>
          <w:b/>
          <w:sz w:val="30"/>
          <w:szCs w:val="30"/>
          <w:lang w:eastAsia="zh-CN"/>
        </w:rPr>
        <w:t>年度）</w:t>
      </w:r>
    </w:p>
    <w:tbl>
      <w:tblPr>
        <w:tblStyle w:val="ae"/>
        <w:tblW w:w="0" w:type="auto"/>
        <w:jc w:val="center"/>
        <w:tblLook w:val="04A0"/>
      </w:tblPr>
      <w:tblGrid>
        <w:gridCol w:w="1587"/>
        <w:gridCol w:w="5953"/>
        <w:gridCol w:w="1417"/>
      </w:tblGrid>
      <w:tr w:rsidR="00FD4BB3">
        <w:trPr>
          <w:jc w:val="center"/>
        </w:trPr>
        <w:tc>
          <w:tcPr>
            <w:tcW w:w="1587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b/>
                <w:sz w:val="22"/>
              </w:rPr>
              <w:t>区划</w:t>
            </w:r>
          </w:p>
        </w:tc>
        <w:tc>
          <w:tcPr>
            <w:tcW w:w="5953" w:type="dxa"/>
            <w:vAlign w:val="center"/>
          </w:tcPr>
          <w:p w:rsidR="00FD4BB3" w:rsidRDefault="0027333A">
            <w:pPr>
              <w:spacing w:after="0" w:line="240" w:lineRule="auto"/>
              <w:jc w:val="center"/>
              <w:rPr>
                <w:lang w:eastAsia="zh-CN"/>
              </w:rPr>
            </w:pPr>
            <w:r>
              <w:rPr>
                <w:rFonts w:ascii="仿宋_GB2312" w:hAnsi="仿宋_GB2312" w:hint="eastAsia"/>
                <w:b/>
                <w:sz w:val="22"/>
                <w:lang w:eastAsia="zh-CN"/>
              </w:rPr>
              <w:t>乡（镇、街道）</w:t>
            </w:r>
            <w:r>
              <w:rPr>
                <w:rFonts w:ascii="仿宋_GB2312" w:hAnsi="仿宋_GB2312" w:hint="eastAsia"/>
                <w:b/>
                <w:sz w:val="22"/>
                <w:lang w:eastAsia="zh-CN"/>
              </w:rPr>
              <w:t>/</w:t>
            </w:r>
            <w:r>
              <w:rPr>
                <w:rFonts w:ascii="仿宋_GB2312" w:hAnsi="仿宋_GB2312" w:hint="eastAsia"/>
                <w:b/>
                <w:sz w:val="22"/>
                <w:lang w:eastAsia="zh-CN"/>
              </w:rPr>
              <w:t>国有林场</w:t>
            </w:r>
          </w:p>
        </w:tc>
        <w:tc>
          <w:tcPr>
            <w:tcW w:w="1417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b/>
                <w:sz w:val="22"/>
              </w:rPr>
              <w:t>松林面积（万亩）</w:t>
            </w:r>
          </w:p>
        </w:tc>
      </w:tr>
      <w:tr w:rsidR="00FD4BB3">
        <w:trPr>
          <w:jc w:val="center"/>
        </w:trPr>
        <w:tc>
          <w:tcPr>
            <w:tcW w:w="1587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sz w:val="22"/>
              </w:rPr>
              <w:t>攻坚区</w:t>
            </w:r>
          </w:p>
        </w:tc>
        <w:tc>
          <w:tcPr>
            <w:tcW w:w="5953" w:type="dxa"/>
            <w:vAlign w:val="center"/>
          </w:tcPr>
          <w:p w:rsidR="00FD4BB3" w:rsidRDefault="0027333A">
            <w:pPr>
              <w:spacing w:after="0" w:line="240" w:lineRule="auto"/>
              <w:rPr>
                <w:lang w:eastAsia="zh-CN"/>
              </w:rPr>
            </w:pPr>
            <w:r>
              <w:rPr>
                <w:rFonts w:ascii="仿宋_GB2312" w:hAnsi="仿宋_GB2312" w:hint="eastAsia"/>
                <w:sz w:val="22"/>
                <w:lang w:eastAsia="zh-CN"/>
              </w:rPr>
              <w:t>岩前镇、陈大镇</w:t>
            </w:r>
            <w:r>
              <w:rPr>
                <w:rFonts w:ascii="仿宋_GB2312" w:hAnsi="仿宋_GB2312" w:hint="eastAsia"/>
                <w:sz w:val="22"/>
                <w:lang w:eastAsia="zh-CN"/>
              </w:rPr>
              <w:t>、</w:t>
            </w:r>
            <w:r>
              <w:rPr>
                <w:rFonts w:ascii="仿宋_GB2312" w:hAnsi="仿宋_GB2312" w:hint="eastAsia"/>
                <w:sz w:val="22"/>
                <w:lang w:eastAsia="zh-CN"/>
              </w:rPr>
              <w:t>莘口镇、富兴堡街道、列西街道</w:t>
            </w:r>
          </w:p>
        </w:tc>
        <w:tc>
          <w:tcPr>
            <w:tcW w:w="1417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/>
                <w:sz w:val="22"/>
              </w:rPr>
              <w:t>10.7</w:t>
            </w:r>
          </w:p>
        </w:tc>
      </w:tr>
      <w:tr w:rsidR="00FD4BB3">
        <w:trPr>
          <w:jc w:val="center"/>
        </w:trPr>
        <w:tc>
          <w:tcPr>
            <w:tcW w:w="1587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 w:hint="eastAsia"/>
                <w:sz w:val="22"/>
              </w:rPr>
              <w:t>防</w:t>
            </w:r>
            <w:r>
              <w:rPr>
                <w:rFonts w:ascii="仿宋_GB2312" w:hAnsi="仿宋_GB2312" w:hint="eastAsia"/>
                <w:sz w:val="22"/>
                <w:lang w:eastAsia="zh-CN"/>
              </w:rPr>
              <w:t>控</w:t>
            </w:r>
            <w:r>
              <w:rPr>
                <w:rFonts w:ascii="仿宋_GB2312" w:hAnsi="仿宋_GB2312" w:hint="eastAsia"/>
                <w:sz w:val="22"/>
              </w:rPr>
              <w:t>区</w:t>
            </w:r>
          </w:p>
        </w:tc>
        <w:tc>
          <w:tcPr>
            <w:tcW w:w="5953" w:type="dxa"/>
            <w:vAlign w:val="center"/>
          </w:tcPr>
          <w:p w:rsidR="00FD4BB3" w:rsidRDefault="0027333A">
            <w:pPr>
              <w:spacing w:after="0" w:line="240" w:lineRule="auto"/>
              <w:rPr>
                <w:lang w:eastAsia="zh-CN"/>
              </w:rPr>
            </w:pPr>
            <w:r>
              <w:rPr>
                <w:rFonts w:ascii="仿宋_GB2312" w:hAnsi="仿宋_GB2312" w:hint="eastAsia"/>
                <w:sz w:val="22"/>
                <w:lang w:eastAsia="zh-CN"/>
              </w:rPr>
              <w:t>中村乡、洋溪镇、荆西街道、白沙街道、城关街道、列东街道、徐碧街道</w:t>
            </w:r>
          </w:p>
        </w:tc>
        <w:tc>
          <w:tcPr>
            <w:tcW w:w="1417" w:type="dxa"/>
            <w:vAlign w:val="center"/>
          </w:tcPr>
          <w:p w:rsidR="00FD4BB3" w:rsidRDefault="0027333A">
            <w:pPr>
              <w:spacing w:after="0" w:line="240" w:lineRule="auto"/>
              <w:jc w:val="center"/>
            </w:pPr>
            <w:r>
              <w:rPr>
                <w:rFonts w:ascii="仿宋_GB2312" w:hAnsi="仿宋_GB2312"/>
                <w:sz w:val="22"/>
              </w:rPr>
              <w:t>2.7</w:t>
            </w:r>
          </w:p>
        </w:tc>
      </w:tr>
    </w:tbl>
    <w:p w:rsidR="00FD4BB3" w:rsidRDefault="0027333A">
      <w:pPr>
        <w:rPr>
          <w:lang w:eastAsia="zh-CN"/>
        </w:rPr>
      </w:pPr>
      <w:r>
        <w:rPr>
          <w:rFonts w:ascii="仿宋_GB2312" w:hAnsi="仿宋_GB2312" w:hint="eastAsia"/>
          <w:sz w:val="22"/>
          <w:lang w:eastAsia="zh-CN"/>
        </w:rPr>
        <w:t>注：</w:t>
      </w:r>
      <w:r>
        <w:rPr>
          <w:rFonts w:ascii="仿宋_GB2312" w:hAnsi="仿宋_GB2312" w:hint="eastAsia"/>
          <w:sz w:val="22"/>
          <w:lang w:eastAsia="zh-CN"/>
        </w:rPr>
        <w:t>1.</w:t>
      </w:r>
      <w:r>
        <w:rPr>
          <w:rFonts w:ascii="仿宋_GB2312" w:hAnsi="仿宋_GB2312" w:hint="eastAsia"/>
          <w:sz w:val="22"/>
          <w:lang w:eastAsia="zh-CN"/>
        </w:rPr>
        <w:t>总体分区根据上年度秋季专项调查结果实行动态调整；</w:t>
      </w:r>
      <w:r>
        <w:rPr>
          <w:rFonts w:ascii="仿宋_GB2312" w:hAnsi="仿宋_GB2312" w:hint="eastAsia"/>
          <w:sz w:val="22"/>
          <w:lang w:eastAsia="zh-CN"/>
        </w:rPr>
        <w:br/>
        <w:t xml:space="preserve">      2.</w:t>
      </w:r>
      <w:r>
        <w:rPr>
          <w:rFonts w:ascii="仿宋_GB2312" w:hAnsi="仿宋_GB2312" w:hint="eastAsia"/>
          <w:sz w:val="22"/>
          <w:lang w:eastAsia="zh-CN"/>
        </w:rPr>
        <w:t>三明莘口格氏栲省级自然保护区</w:t>
      </w:r>
      <w:r>
        <w:rPr>
          <w:rFonts w:ascii="仿宋_GB2312" w:hAnsi="仿宋_GB2312" w:hint="eastAsia"/>
          <w:sz w:val="22"/>
          <w:lang w:eastAsia="zh-CN"/>
        </w:rPr>
        <w:t>、莘口教学林场、</w:t>
      </w:r>
      <w:r>
        <w:rPr>
          <w:rFonts w:ascii="仿宋_GB2312" w:hAnsi="仿宋_GB2312" w:hint="eastAsia"/>
          <w:sz w:val="22"/>
          <w:lang w:eastAsia="zh-CN"/>
        </w:rPr>
        <w:t>福建省三明市郊国有林场</w:t>
      </w:r>
      <w:r>
        <w:rPr>
          <w:rFonts w:ascii="仿宋_GB2312" w:hAnsi="仿宋_GB2312" w:hint="eastAsia"/>
          <w:sz w:val="22"/>
          <w:lang w:eastAsia="zh-CN"/>
        </w:rPr>
        <w:t>、</w:t>
      </w:r>
      <w:r>
        <w:rPr>
          <w:rFonts w:ascii="仿宋_GB2312" w:hAnsi="仿宋_GB2312" w:hint="eastAsia"/>
          <w:sz w:val="22"/>
          <w:lang w:eastAsia="zh-CN"/>
        </w:rPr>
        <w:t>台江国有林场、陈大国有林场、三元区国有林场纳入相应分区管理；</w:t>
      </w:r>
      <w:r>
        <w:rPr>
          <w:rFonts w:ascii="仿宋_GB2312" w:hAnsi="仿宋_GB2312" w:hint="eastAsia"/>
          <w:sz w:val="22"/>
          <w:lang w:eastAsia="zh-CN"/>
        </w:rPr>
        <w:br/>
        <w:t xml:space="preserve">      3.</w:t>
      </w:r>
      <w:r>
        <w:rPr>
          <w:rFonts w:ascii="仿宋_GB2312" w:hAnsi="仿宋_GB2312" w:hint="eastAsia"/>
          <w:sz w:val="22"/>
          <w:lang w:eastAsia="zh-CN"/>
        </w:rPr>
        <w:t>防</w:t>
      </w:r>
      <w:r>
        <w:rPr>
          <w:rFonts w:ascii="仿宋_GB2312" w:hAnsi="仿宋_GB2312" w:hint="eastAsia"/>
          <w:sz w:val="22"/>
          <w:lang w:eastAsia="zh-CN"/>
        </w:rPr>
        <w:t>控</w:t>
      </w:r>
      <w:r>
        <w:rPr>
          <w:rFonts w:ascii="仿宋_GB2312" w:hAnsi="仿宋_GB2312" w:hint="eastAsia"/>
          <w:sz w:val="22"/>
          <w:lang w:eastAsia="zh-CN"/>
        </w:rPr>
        <w:t>区一旦发生疫情，即划入攻坚区。</w:t>
      </w:r>
    </w:p>
    <w:sectPr w:rsidR="00FD4BB3" w:rsidSect="00FD4BB3">
      <w:pgSz w:w="12240" w:h="15840"/>
      <w:pgMar w:top="1327" w:right="1746" w:bottom="1327" w:left="174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33A" w:rsidRDefault="0027333A">
      <w:pPr>
        <w:spacing w:line="240" w:lineRule="auto"/>
      </w:pPr>
      <w:r>
        <w:separator/>
      </w:r>
    </w:p>
  </w:endnote>
  <w:endnote w:type="continuationSeparator" w:id="1">
    <w:p w:rsidR="0027333A" w:rsidRDefault="0027333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altName w:val="C059"/>
    <w:charset w:val="00"/>
    <w:family w:val="auto"/>
    <w:pitch w:val="default"/>
    <w:sig w:usb0="00000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国标黑体-GB/T 2312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国标仿宋-GB/T 2312">
    <w:altName w:val="微软雅黑"/>
    <w:charset w:val="86"/>
    <w:family w:val="auto"/>
    <w:pitch w:val="default"/>
    <w:sig w:usb0="00000000" w:usb1="08476CF8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33A" w:rsidRDefault="0027333A">
      <w:pPr>
        <w:spacing w:after="0"/>
      </w:pPr>
      <w:r>
        <w:separator/>
      </w:r>
    </w:p>
  </w:footnote>
  <w:footnote w:type="continuationSeparator" w:id="1">
    <w:p w:rsidR="0027333A" w:rsidRDefault="0027333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7FA72FA"/>
    <w:multiLevelType w:val="singleLevel"/>
    <w:tmpl w:val="B7FA72FA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4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trackRevisions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FFFD7FFF"/>
    <w:rsid w:val="00034616"/>
    <w:rsid w:val="0006063C"/>
    <w:rsid w:val="00134A95"/>
    <w:rsid w:val="0015074B"/>
    <w:rsid w:val="0027333A"/>
    <w:rsid w:val="0029639D"/>
    <w:rsid w:val="00326F90"/>
    <w:rsid w:val="00AA1D8D"/>
    <w:rsid w:val="00B47730"/>
    <w:rsid w:val="00CB0664"/>
    <w:rsid w:val="00FC693F"/>
    <w:rsid w:val="00FD4BB3"/>
    <w:rsid w:val="38AEFA4F"/>
    <w:rsid w:val="39374E80"/>
    <w:rsid w:val="3B4337F4"/>
    <w:rsid w:val="53A65483"/>
    <w:rsid w:val="5E7E1E14"/>
    <w:rsid w:val="6D97F69D"/>
    <w:rsid w:val="6F675F92"/>
    <w:rsid w:val="6FE46AF2"/>
    <w:rsid w:val="776E2EB1"/>
    <w:rsid w:val="7BDFFF46"/>
    <w:rsid w:val="7E7F59CF"/>
    <w:rsid w:val="7F727EBD"/>
    <w:rsid w:val="7F7B3728"/>
    <w:rsid w:val="7F7D1897"/>
    <w:rsid w:val="7FADCE12"/>
    <w:rsid w:val="7FE2A07C"/>
    <w:rsid w:val="7FF76245"/>
    <w:rsid w:val="7FFB7EBC"/>
    <w:rsid w:val="7FFF56E5"/>
    <w:rsid w:val="9E3DF729"/>
    <w:rsid w:val="BA7DCBA3"/>
    <w:rsid w:val="BBE7FA1F"/>
    <w:rsid w:val="BEFF8750"/>
    <w:rsid w:val="BFDBD464"/>
    <w:rsid w:val="BFFDBEB7"/>
    <w:rsid w:val="DD9D39BD"/>
    <w:rsid w:val="DF3BBC42"/>
    <w:rsid w:val="DFEF3CB6"/>
    <w:rsid w:val="F3FF04B3"/>
    <w:rsid w:val="F72F0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1" w:defQFormat="1" w:count="267">
    <w:lsdException w:name="Normal" w:uiPriority="0" w:unhideWhenUsed="0"/>
    <w:lsdException w:name="heading 1" w:uiPriority="9" w:unhideWhenUsed="0"/>
    <w:lsdException w:name="heading 2" w:uiPriority="9"/>
    <w:lsdException w:name="heading 3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qFormat="0"/>
    <w:lsdException w:name="index 2" w:semiHidden="1" w:qFormat="0"/>
    <w:lsdException w:name="index 3" w:semiHidden="1" w:qFormat="0"/>
    <w:lsdException w:name="index 4" w:semiHidden="1" w:qFormat="0"/>
    <w:lsdException w:name="index 5" w:semiHidden="1" w:qFormat="0"/>
    <w:lsdException w:name="index 6" w:semiHidden="1" w:qFormat="0"/>
    <w:lsdException w:name="index 7" w:semiHidden="1" w:qFormat="0"/>
    <w:lsdException w:name="index 8" w:semiHidden="1" w:qFormat="0"/>
    <w:lsdException w:name="index 9" w:semiHidden="1" w:qFormat="0"/>
    <w:lsdException w:name="toc 1" w:semiHidden="1" w:uiPriority="39" w:qFormat="0"/>
    <w:lsdException w:name="toc 2" w:semiHidden="1" w:uiPriority="39" w:qFormat="0"/>
    <w:lsdException w:name="toc 3" w:semiHidden="1" w:uiPriority="39" w:qFormat="0"/>
    <w:lsdException w:name="toc 4" w:semiHidden="1" w:uiPriority="39" w:qFormat="0"/>
    <w:lsdException w:name="toc 5" w:semiHidden="1" w:uiPriority="39" w:qFormat="0"/>
    <w:lsdException w:name="toc 6" w:semiHidden="1" w:uiPriority="39" w:qFormat="0"/>
    <w:lsdException w:name="toc 7" w:semiHidden="1" w:uiPriority="39" w:qFormat="0"/>
    <w:lsdException w:name="toc 8" w:semiHidden="1" w:uiPriority="39" w:qFormat="0"/>
    <w:lsdException w:name="toc 9" w:semiHidden="1" w:uiPriority="39" w:qFormat="0"/>
    <w:lsdException w:name="Normal Indent" w:semiHidden="1" w:qFormat="0"/>
    <w:lsdException w:name="footnote text" w:semiHidden="1" w:qFormat="0"/>
    <w:lsdException w:name="annotation text" w:semiHidden="1" w:qFormat="0"/>
    <w:lsdException w:name="index heading" w:semiHidden="1" w:qFormat="0"/>
    <w:lsdException w:name="caption" w:semiHidden="1" w:uiPriority="35"/>
    <w:lsdException w:name="table of figures" w:semiHidden="1" w:qFormat="0"/>
    <w:lsdException w:name="envelope address" w:semiHidden="1" w:qFormat="0"/>
    <w:lsdException w:name="envelope return" w:semiHidden="1" w:qFormat="0"/>
    <w:lsdException w:name="footnote reference" w:semiHidden="1" w:qFormat="0"/>
    <w:lsdException w:name="annotation reference" w:semiHidden="1" w:qFormat="0"/>
    <w:lsdException w:name="line number" w:semiHidden="1" w:qFormat="0"/>
    <w:lsdException w:name="page number" w:semiHidden="1" w:qFormat="0"/>
    <w:lsdException w:name="endnote reference" w:semiHidden="1" w:qFormat="0"/>
    <w:lsdException w:name="endnote text" w:semiHidden="1" w:qFormat="0"/>
    <w:lsdException w:name="table of authorities" w:semiHidden="1" w:qFormat="0"/>
    <w:lsdException w:name="toa heading" w:semiHidden="1" w:qFormat="0"/>
    <w:lsdException w:name="List 4" w:semiHidden="1" w:qFormat="0"/>
    <w:lsdException w:name="List 5" w:semiHidden="1" w:qFormat="0"/>
    <w:lsdException w:name="List Bullet 4" w:semiHidden="1" w:qFormat="0"/>
    <w:lsdException w:name="List Bullet 5" w:semiHidden="1" w:qFormat="0"/>
    <w:lsdException w:name="List Number 4" w:semiHidden="1" w:qFormat="0"/>
    <w:lsdException w:name="List Number 5" w:semiHidden="1" w:qFormat="0"/>
    <w:lsdException w:name="Title" w:uiPriority="10" w:unhideWhenUsed="0"/>
    <w:lsdException w:name="Closing" w:semiHidden="1" w:qFormat="0"/>
    <w:lsdException w:name="Signature" w:semiHidden="1" w:qFormat="0"/>
    <w:lsdException w:name="Default Paragraph Font" w:semiHidden="1" w:uiPriority="1"/>
    <w:lsdException w:name="Body Text Indent" w:semiHidden="1" w:qFormat="0"/>
    <w:lsdException w:name="List Continue 4" w:semiHidden="1" w:qFormat="0"/>
    <w:lsdException w:name="List Continue 5" w:semiHidden="1" w:qFormat="0"/>
    <w:lsdException w:name="Message Header" w:semiHidden="1" w:qFormat="0"/>
    <w:lsdException w:name="Subtitle" w:uiPriority="11" w:unhideWhenUsed="0"/>
    <w:lsdException w:name="Salutation" w:semiHidden="1" w:qFormat="0"/>
    <w:lsdException w:name="Date" w:semiHidden="1" w:qFormat="0"/>
    <w:lsdException w:name="Body Text First Indent" w:semiHidden="1" w:qFormat="0"/>
    <w:lsdException w:name="Body Text First Indent 2" w:semiHidden="1" w:qFormat="0"/>
    <w:lsdException w:name="Note Heading" w:semiHidden="1" w:qFormat="0"/>
    <w:lsdException w:name="Body Text Indent 2" w:semiHidden="1" w:qFormat="0"/>
    <w:lsdException w:name="Body Text Indent 3" w:semiHidden="1" w:qFormat="0"/>
    <w:lsdException w:name="Block Text" w:semiHidden="1" w:qFormat="0"/>
    <w:lsdException w:name="Hyperlink" w:semiHidden="1" w:qFormat="0"/>
    <w:lsdException w:name="FollowedHyperlink" w:semiHidden="1" w:qFormat="0"/>
    <w:lsdException w:name="Strong" w:uiPriority="22" w:unhideWhenUsed="0"/>
    <w:lsdException w:name="Emphasis" w:uiPriority="20" w:unhideWhenUsed="0"/>
    <w:lsdException w:name="Document Map" w:semiHidden="1" w:qFormat="0"/>
    <w:lsdException w:name="Plain Text" w:semiHidden="1" w:qFormat="0"/>
    <w:lsdException w:name="E-mail Signature" w:semiHidden="1" w:qFormat="0"/>
    <w:lsdException w:name="HTML Top of Form" w:semiHidden="1" w:qFormat="0"/>
    <w:lsdException w:name="HTML Bottom of Form" w:semiHidden="1" w:qFormat="0"/>
    <w:lsdException w:name="Normal (Web)" w:semiHidden="1" w:qFormat="0"/>
    <w:lsdException w:name="HTML Acronym" w:semiHidden="1" w:qFormat="0"/>
    <w:lsdException w:name="HTML Address" w:semiHidden="1" w:qFormat="0"/>
    <w:lsdException w:name="HTML Cite" w:semiHidden="1" w:qFormat="0"/>
    <w:lsdException w:name="HTML Code" w:semiHidden="1" w:qFormat="0"/>
    <w:lsdException w:name="HTML Definition" w:semiHidden="1" w:qFormat="0"/>
    <w:lsdException w:name="HTML Keyboard" w:semiHidden="1" w:qFormat="0"/>
    <w:lsdException w:name="HTML Preformatted" w:semiHidden="1" w:qFormat="0"/>
    <w:lsdException w:name="HTML Sample" w:semiHidden="1" w:qFormat="0"/>
    <w:lsdException w:name="HTML Typewriter" w:semiHidden="1" w:qFormat="0"/>
    <w:lsdException w:name="HTML Variable" w:semiHidden="1" w:qFormat="0"/>
    <w:lsdException w:name="Normal Table" w:semiHidden="1"/>
    <w:lsdException w:name="annotation subject" w:semiHidden="1" w:qFormat="0"/>
    <w:lsdException w:name="No List" w:semiHidden="1" w:qFormat="0"/>
    <w:lsdException w:name="Outline List 1" w:semiHidden="1" w:qFormat="0"/>
    <w:lsdException w:name="Outline List 2" w:semiHidden="1" w:qFormat="0"/>
    <w:lsdException w:name="Outline List 3" w:semiHidden="1" w:qFormat="0"/>
    <w:lsdException w:name="Table Simple 1" w:semiHidden="1" w:qFormat="0"/>
    <w:lsdException w:name="Table Simple 2" w:semiHidden="1" w:qFormat="0"/>
    <w:lsdException w:name="Table Simple 3" w:semiHidden="1" w:qFormat="0"/>
    <w:lsdException w:name="Table Classic 1" w:semiHidden="1" w:qFormat="0"/>
    <w:lsdException w:name="Table Classic 2" w:semiHidden="1" w:qFormat="0"/>
    <w:lsdException w:name="Table Classic 3" w:semiHidden="1" w:qFormat="0"/>
    <w:lsdException w:name="Table Classic 4" w:semiHidden="1" w:qFormat="0"/>
    <w:lsdException w:name="Table Colorful 1" w:semiHidden="1" w:qFormat="0"/>
    <w:lsdException w:name="Table Colorful 2" w:semiHidden="1" w:qFormat="0"/>
    <w:lsdException w:name="Table Colorful 3" w:semiHidden="1" w:qFormat="0"/>
    <w:lsdException w:name="Table Columns 1" w:semiHidden="1" w:qFormat="0"/>
    <w:lsdException w:name="Table Columns 2" w:semiHidden="1" w:qFormat="0"/>
    <w:lsdException w:name="Table Columns 3" w:semiHidden="1" w:qFormat="0"/>
    <w:lsdException w:name="Table Columns 4" w:semiHidden="1" w:qFormat="0"/>
    <w:lsdException w:name="Table Columns 5" w:semiHidden="1" w:qFormat="0"/>
    <w:lsdException w:name="Table Grid 1" w:semiHidden="1" w:qFormat="0"/>
    <w:lsdException w:name="Table Grid 2" w:semiHidden="1" w:qFormat="0"/>
    <w:lsdException w:name="Table Grid 3" w:semiHidden="1" w:qFormat="0"/>
    <w:lsdException w:name="Table Grid 4" w:semiHidden="1" w:qFormat="0"/>
    <w:lsdException w:name="Table Grid 5" w:semiHidden="1" w:qFormat="0"/>
    <w:lsdException w:name="Table Grid 6" w:semiHidden="1" w:qFormat="0"/>
    <w:lsdException w:name="Table Grid 7" w:semiHidden="1" w:qFormat="0"/>
    <w:lsdException w:name="Table Grid 8" w:semiHidden="1" w:qFormat="0"/>
    <w:lsdException w:name="Table List 1" w:semiHidden="1" w:qFormat="0"/>
    <w:lsdException w:name="Table List 2" w:semiHidden="1" w:qFormat="0"/>
    <w:lsdException w:name="Table List 3" w:semiHidden="1" w:qFormat="0"/>
    <w:lsdException w:name="Table List 4" w:semiHidden="1" w:qFormat="0"/>
    <w:lsdException w:name="Table List 5" w:semiHidden="1" w:qFormat="0"/>
    <w:lsdException w:name="Table List 6" w:semiHidden="1" w:qFormat="0"/>
    <w:lsdException w:name="Table List 7" w:semiHidden="1" w:qFormat="0"/>
    <w:lsdException w:name="Table List 8" w:semiHidden="1" w:qFormat="0"/>
    <w:lsdException w:name="Table 3D effects 1" w:semiHidden="1" w:qFormat="0"/>
    <w:lsdException w:name="Table 3D effects 2" w:semiHidden="1" w:qFormat="0"/>
    <w:lsdException w:name="Table 3D effects 3" w:semiHidden="1" w:qFormat="0"/>
    <w:lsdException w:name="Table Contemporary" w:semiHidden="1" w:qFormat="0"/>
    <w:lsdException w:name="Table Elegant" w:semiHidden="1" w:qFormat="0"/>
    <w:lsdException w:name="Table Professional" w:semiHidden="1" w:qFormat="0"/>
    <w:lsdException w:name="Table Subtle 1" w:semiHidden="1" w:qFormat="0"/>
    <w:lsdException w:name="Table Subtle 2" w:semiHidden="1" w:qFormat="0"/>
    <w:lsdException w:name="Table Web 1" w:semiHidden="1" w:qFormat="0"/>
    <w:lsdException w:name="Table Web 2" w:semiHidden="1" w:qFormat="0"/>
    <w:lsdException w:name="Table Web 3" w:semiHidden="1" w:qFormat="0"/>
    <w:lsdException w:name="Balloon Text" w:semiHidden="1" w:qFormat="0"/>
    <w:lsdException w:name="Table Grid" w:uiPriority="59" w:unhideWhenUsed="0"/>
    <w:lsdException w:name="Table Theme" w:semiHidden="1" w:qFormat="0"/>
    <w:lsdException w:name="Placeholder Text" w:semiHidden="1" w:qFormat="0"/>
    <w:lsdException w:name="No Spacing" w:uiPriority="1" w:unhideWhenUsed="0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qFormat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semiHidden="1" w:uiPriority="37" w:qFormat="0"/>
    <w:lsdException w:name="TOC Heading" w:semiHidden="1" w:uiPriority="39"/>
  </w:latentStyles>
  <w:style w:type="paragraph" w:default="1" w:styleId="a1">
    <w:name w:val="Normal"/>
    <w:qFormat/>
    <w:rsid w:val="00FD4BB3"/>
    <w:pPr>
      <w:spacing w:after="200" w:line="276" w:lineRule="auto"/>
    </w:pPr>
    <w:rPr>
      <w:rFonts w:ascii="Times New Roman" w:eastAsia="仿宋_GB2312" w:hAnsi="Times New Roman"/>
      <w:sz w:val="28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rsid w:val="00FD4B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D4B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D4B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D4B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D4B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D4BB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D4BB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D4BB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D4BB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unhideWhenUsed/>
    <w:qFormat/>
    <w:rsid w:val="00FD4BB3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2">
    <w:name w:val="List 3"/>
    <w:basedOn w:val="a1"/>
    <w:uiPriority w:val="99"/>
    <w:unhideWhenUsed/>
    <w:qFormat/>
    <w:rsid w:val="00FD4BB3"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rsid w:val="00FD4BB3"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rsid w:val="00FD4BB3"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semiHidden/>
    <w:unhideWhenUsed/>
    <w:qFormat/>
    <w:rsid w:val="00FD4BB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rsid w:val="00FD4BB3"/>
    <w:pPr>
      <w:numPr>
        <w:numId w:val="3"/>
      </w:numPr>
      <w:contextualSpacing/>
    </w:pPr>
  </w:style>
  <w:style w:type="paragraph" w:styleId="33">
    <w:name w:val="Body Text 3"/>
    <w:basedOn w:val="a1"/>
    <w:link w:val="3Char0"/>
    <w:uiPriority w:val="99"/>
    <w:unhideWhenUsed/>
    <w:qFormat/>
    <w:rsid w:val="00FD4BB3"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rsid w:val="00FD4BB3"/>
    <w:pPr>
      <w:numPr>
        <w:numId w:val="4"/>
      </w:numPr>
      <w:contextualSpacing/>
    </w:pPr>
  </w:style>
  <w:style w:type="paragraph" w:styleId="a7">
    <w:name w:val="Body Text"/>
    <w:basedOn w:val="a1"/>
    <w:link w:val="Char0"/>
    <w:uiPriority w:val="99"/>
    <w:unhideWhenUsed/>
    <w:qFormat/>
    <w:rsid w:val="00FD4BB3"/>
    <w:pPr>
      <w:spacing w:after="120"/>
    </w:pPr>
  </w:style>
  <w:style w:type="paragraph" w:styleId="3">
    <w:name w:val="List Number 3"/>
    <w:basedOn w:val="a1"/>
    <w:uiPriority w:val="99"/>
    <w:unhideWhenUsed/>
    <w:qFormat/>
    <w:rsid w:val="00FD4BB3"/>
    <w:pPr>
      <w:numPr>
        <w:numId w:val="5"/>
      </w:numPr>
      <w:contextualSpacing/>
    </w:pPr>
  </w:style>
  <w:style w:type="paragraph" w:styleId="22">
    <w:name w:val="List 2"/>
    <w:basedOn w:val="a1"/>
    <w:uiPriority w:val="99"/>
    <w:unhideWhenUsed/>
    <w:qFormat/>
    <w:rsid w:val="00FD4BB3"/>
    <w:pPr>
      <w:ind w:left="720" w:hanging="360"/>
      <w:contextualSpacing/>
    </w:pPr>
  </w:style>
  <w:style w:type="paragraph" w:styleId="a8">
    <w:name w:val="List Continue"/>
    <w:basedOn w:val="a1"/>
    <w:uiPriority w:val="99"/>
    <w:unhideWhenUsed/>
    <w:qFormat/>
    <w:rsid w:val="00FD4BB3"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rsid w:val="00FD4BB3"/>
    <w:pPr>
      <w:numPr>
        <w:numId w:val="6"/>
      </w:numPr>
      <w:contextualSpacing/>
    </w:pPr>
  </w:style>
  <w:style w:type="paragraph" w:styleId="a9">
    <w:name w:val="footer"/>
    <w:basedOn w:val="a1"/>
    <w:link w:val="Char1"/>
    <w:uiPriority w:val="99"/>
    <w:unhideWhenUsed/>
    <w:qFormat/>
    <w:rsid w:val="00FD4BB3"/>
    <w:pPr>
      <w:tabs>
        <w:tab w:val="center" w:pos="4680"/>
        <w:tab w:val="right" w:pos="9360"/>
      </w:tabs>
      <w:spacing w:after="0" w:line="240" w:lineRule="auto"/>
    </w:pPr>
  </w:style>
  <w:style w:type="paragraph" w:styleId="aa">
    <w:name w:val="header"/>
    <w:basedOn w:val="a1"/>
    <w:link w:val="Char2"/>
    <w:uiPriority w:val="99"/>
    <w:unhideWhenUsed/>
    <w:qFormat/>
    <w:rsid w:val="00FD4BB3"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Subtitle"/>
    <w:basedOn w:val="a1"/>
    <w:next w:val="a1"/>
    <w:link w:val="Char3"/>
    <w:uiPriority w:val="11"/>
    <w:qFormat/>
    <w:rsid w:val="00FD4B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"/>
    <w:basedOn w:val="a1"/>
    <w:uiPriority w:val="99"/>
    <w:unhideWhenUsed/>
    <w:qFormat/>
    <w:rsid w:val="00FD4BB3"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unhideWhenUsed/>
    <w:qFormat/>
    <w:rsid w:val="00FD4BB3"/>
    <w:pPr>
      <w:spacing w:after="120" w:line="480" w:lineRule="auto"/>
    </w:pPr>
  </w:style>
  <w:style w:type="paragraph" w:styleId="24">
    <w:name w:val="List Continue 2"/>
    <w:basedOn w:val="a1"/>
    <w:uiPriority w:val="99"/>
    <w:unhideWhenUsed/>
    <w:qFormat/>
    <w:rsid w:val="00FD4BB3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qFormat/>
    <w:rsid w:val="00FD4BB3"/>
    <w:pPr>
      <w:spacing w:after="120"/>
      <w:ind w:left="1080"/>
      <w:contextualSpacing/>
    </w:pPr>
  </w:style>
  <w:style w:type="paragraph" w:styleId="ad">
    <w:name w:val="Title"/>
    <w:basedOn w:val="a1"/>
    <w:next w:val="a1"/>
    <w:link w:val="Char4"/>
    <w:uiPriority w:val="10"/>
    <w:qFormat/>
    <w:rsid w:val="00FD4B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e">
    <w:name w:val="Table Grid"/>
    <w:basedOn w:val="a3"/>
    <w:uiPriority w:val="59"/>
    <w:qFormat/>
    <w:rsid w:val="00FD4B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Light Shading"/>
    <w:basedOn w:val="a3"/>
    <w:uiPriority w:val="60"/>
    <w:qFormat/>
    <w:rsid w:val="00FD4BB3"/>
    <w:rPr>
      <w:color w:val="000000" w:themeColor="text1" w:themeShade="BF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sid w:val="00FD4BB3"/>
    <w:rPr>
      <w:color w:val="365F91" w:themeColor="accent1" w:themeShade="BF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sid w:val="00FD4BB3"/>
    <w:rPr>
      <w:color w:val="943634" w:themeColor="accent2" w:themeShade="BF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sid w:val="00FD4BB3"/>
    <w:rPr>
      <w:color w:val="76923C" w:themeColor="accent3" w:themeShade="BF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sid w:val="00FD4BB3"/>
    <w:rPr>
      <w:color w:val="5F497A" w:themeColor="accent4" w:themeShade="BF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sid w:val="00FD4BB3"/>
    <w:rPr>
      <w:color w:val="31849B" w:themeColor="accent5" w:themeShade="BF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sid w:val="00FD4BB3"/>
    <w:rPr>
      <w:color w:val="E36C0A" w:themeColor="accent6" w:themeShade="BF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0">
    <w:name w:val="Light List"/>
    <w:basedOn w:val="a3"/>
    <w:uiPriority w:val="61"/>
    <w:qFormat/>
    <w:rsid w:val="00FD4BB3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rsid w:val="00FD4BB3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rsid w:val="00FD4BB3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rsid w:val="00FD4BB3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rsid w:val="00FD4BB3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rsid w:val="00FD4BB3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rsid w:val="00FD4BB3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1">
    <w:name w:val="Light Grid"/>
    <w:basedOn w:val="a3"/>
    <w:uiPriority w:val="62"/>
    <w:qFormat/>
    <w:rsid w:val="00FD4BB3"/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rsid w:val="00FD4BB3"/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rsid w:val="00FD4BB3"/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rsid w:val="00FD4BB3"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rsid w:val="00FD4BB3"/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rsid w:val="00FD4BB3"/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rsid w:val="00FD4BB3"/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qFormat/>
    <w:rsid w:val="00FD4BB3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rsid w:val="00FD4BB3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rsid w:val="00FD4BB3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rsid w:val="00FD4BB3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rsid w:val="00FD4BB3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rsid w:val="00FD4BB3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rsid w:val="00FD4BB3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qFormat/>
    <w:rsid w:val="00FD4BB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rsid w:val="00FD4BB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rsid w:val="00FD4BB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rsid w:val="00FD4BB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rsid w:val="00FD4BB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rsid w:val="00FD4BB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rsid w:val="00FD4BB3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qFormat/>
    <w:rsid w:val="00FD4BB3"/>
    <w:rPr>
      <w:color w:val="000000" w:themeColor="text1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sid w:val="00FD4BB3"/>
    <w:rPr>
      <w:color w:val="000000" w:themeColor="text1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sid w:val="00FD4BB3"/>
    <w:rPr>
      <w:color w:val="000000" w:themeColor="text1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sid w:val="00FD4BB3"/>
    <w:rPr>
      <w:color w:val="000000" w:themeColor="text1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sid w:val="00FD4BB3"/>
    <w:rPr>
      <w:color w:val="000000" w:themeColor="text1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sid w:val="00FD4BB3"/>
    <w:rPr>
      <w:color w:val="000000" w:themeColor="text1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sid w:val="00FD4BB3"/>
    <w:rPr>
      <w:color w:val="000000" w:themeColor="text1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qFormat/>
    <w:rsid w:val="00FD4BB3"/>
    <w:tblPr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rsid w:val="00FD4BB3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rsid w:val="00FD4BB3"/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rsid w:val="00FD4BB3"/>
    <w:tblPr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rsid w:val="00FD4BB3"/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rsid w:val="00FD4BB3"/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rsid w:val="00FD4BB3"/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sid w:val="00FD4BB3"/>
    <w:rPr>
      <w:rFonts w:asciiTheme="majorHAnsi" w:eastAsiaTheme="majorEastAsia" w:hAnsiTheme="majorHAnsi" w:cstheme="majorBidi"/>
      <w:color w:val="000000" w:themeColor="text1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qFormat/>
    <w:rsid w:val="00FD4BB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rsid w:val="00FD4BB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rsid w:val="00FD4BB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rsid w:val="00FD4BB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rsid w:val="00FD4BB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rsid w:val="00FD4BB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rsid w:val="00FD4BB3"/>
    <w:tblPr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2">
    <w:name w:val="Dark List"/>
    <w:basedOn w:val="a3"/>
    <w:uiPriority w:val="70"/>
    <w:qFormat/>
    <w:rsid w:val="00FD4BB3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sid w:val="00FD4BB3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sid w:val="00FD4BB3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sid w:val="00FD4BB3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sid w:val="00FD4BB3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sid w:val="00FD4BB3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sid w:val="00FD4BB3"/>
    <w:rPr>
      <w:color w:val="FFFFFF" w:themeColor="background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3">
    <w:name w:val="Colorful Shading"/>
    <w:basedOn w:val="a3"/>
    <w:uiPriority w:val="71"/>
    <w:qFormat/>
    <w:rsid w:val="00FD4BB3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sid w:val="00FD4BB3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sid w:val="00FD4BB3"/>
    <w:rPr>
      <w:color w:val="000000" w:themeColor="text1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sid w:val="00FD4BB3"/>
    <w:rPr>
      <w:color w:val="000000" w:themeColor="text1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sid w:val="00FD4BB3"/>
    <w:rPr>
      <w:color w:val="000000" w:themeColor="text1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sid w:val="00FD4BB3"/>
    <w:rPr>
      <w:color w:val="000000" w:themeColor="text1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sid w:val="00FD4BB3"/>
    <w:rPr>
      <w:color w:val="000000" w:themeColor="text1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4">
    <w:name w:val="Colorful List"/>
    <w:basedOn w:val="a3"/>
    <w:uiPriority w:val="72"/>
    <w:qFormat/>
    <w:rsid w:val="00FD4BB3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sid w:val="00FD4BB3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sid w:val="00FD4BB3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sid w:val="00FD4BB3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sid w:val="00FD4BB3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sid w:val="00FD4BB3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sid w:val="00FD4BB3"/>
    <w:rPr>
      <w:color w:val="000000" w:themeColor="text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5">
    <w:name w:val="Colorful Grid"/>
    <w:basedOn w:val="a3"/>
    <w:uiPriority w:val="73"/>
    <w:qFormat/>
    <w:rsid w:val="00FD4BB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sid w:val="00FD4BB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sid w:val="00FD4BB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sid w:val="00FD4BB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sid w:val="00FD4BB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sid w:val="00FD4BB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sid w:val="00FD4BB3"/>
    <w:rPr>
      <w:color w:val="000000" w:themeColor="text1"/>
    </w:rPr>
    <w:tblPr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6">
    <w:name w:val="Strong"/>
    <w:basedOn w:val="a2"/>
    <w:uiPriority w:val="22"/>
    <w:qFormat/>
    <w:rsid w:val="00FD4BB3"/>
    <w:rPr>
      <w:b/>
      <w:bCs/>
    </w:rPr>
  </w:style>
  <w:style w:type="character" w:styleId="af7">
    <w:name w:val="Emphasis"/>
    <w:basedOn w:val="a2"/>
    <w:uiPriority w:val="20"/>
    <w:qFormat/>
    <w:rsid w:val="00FD4BB3"/>
    <w:rPr>
      <w:i/>
      <w:iCs/>
    </w:rPr>
  </w:style>
  <w:style w:type="character" w:customStyle="1" w:styleId="Char3">
    <w:name w:val="副标题 Char"/>
    <w:basedOn w:val="a2"/>
    <w:link w:val="ab"/>
    <w:uiPriority w:val="11"/>
    <w:qFormat/>
    <w:rsid w:val="00FD4B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5">
    <w:name w:val="明显引用 Char"/>
    <w:basedOn w:val="a2"/>
    <w:link w:val="af8"/>
    <w:uiPriority w:val="30"/>
    <w:qFormat/>
    <w:rsid w:val="00FD4BB3"/>
    <w:rPr>
      <w:b/>
      <w:bCs/>
      <w:i/>
      <w:iCs/>
      <w:color w:val="4F81BD" w:themeColor="accent1"/>
    </w:rPr>
  </w:style>
  <w:style w:type="paragraph" w:styleId="af8">
    <w:name w:val="Intense Quote"/>
    <w:basedOn w:val="a1"/>
    <w:next w:val="a1"/>
    <w:link w:val="Char5"/>
    <w:uiPriority w:val="30"/>
    <w:qFormat/>
    <w:rsid w:val="00FD4BB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1">
    <w:name w:val="页脚 Char"/>
    <w:basedOn w:val="a2"/>
    <w:link w:val="a9"/>
    <w:uiPriority w:val="99"/>
    <w:qFormat/>
    <w:rsid w:val="00FD4BB3"/>
  </w:style>
  <w:style w:type="paragraph" w:styleId="af9">
    <w:name w:val="No Spacing"/>
    <w:uiPriority w:val="1"/>
    <w:qFormat/>
    <w:rsid w:val="00FD4BB3"/>
    <w:rPr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qFormat/>
    <w:rsid w:val="00FD4B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rsid w:val="00FD4BB3"/>
    <w:pPr>
      <w:outlineLvl w:val="9"/>
    </w:pPr>
  </w:style>
  <w:style w:type="character" w:customStyle="1" w:styleId="3Char0">
    <w:name w:val="正文文本 3 Char"/>
    <w:basedOn w:val="a2"/>
    <w:link w:val="33"/>
    <w:uiPriority w:val="99"/>
    <w:qFormat/>
    <w:rsid w:val="00FD4BB3"/>
    <w:rPr>
      <w:sz w:val="16"/>
      <w:szCs w:val="16"/>
    </w:rPr>
  </w:style>
  <w:style w:type="character" w:customStyle="1" w:styleId="Char0">
    <w:name w:val="正文文本 Char"/>
    <w:basedOn w:val="a2"/>
    <w:link w:val="a7"/>
    <w:uiPriority w:val="99"/>
    <w:qFormat/>
    <w:rsid w:val="00FD4BB3"/>
  </w:style>
  <w:style w:type="character" w:customStyle="1" w:styleId="13">
    <w:name w:val="明显参考1"/>
    <w:basedOn w:val="a2"/>
    <w:uiPriority w:val="32"/>
    <w:qFormat/>
    <w:rsid w:val="00FD4BB3"/>
    <w:rPr>
      <w:b/>
      <w:bCs/>
      <w:smallCaps/>
      <w:color w:val="C0504D" w:themeColor="accent2"/>
      <w:spacing w:val="5"/>
      <w:u w:val="single"/>
    </w:rPr>
  </w:style>
  <w:style w:type="character" w:customStyle="1" w:styleId="4Char">
    <w:name w:val="标题 4 Char"/>
    <w:basedOn w:val="a2"/>
    <w:link w:val="4"/>
    <w:uiPriority w:val="9"/>
    <w:semiHidden/>
    <w:qFormat/>
    <w:rsid w:val="00FD4B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har6">
    <w:name w:val="引用 Char"/>
    <w:basedOn w:val="a2"/>
    <w:link w:val="afa"/>
    <w:uiPriority w:val="29"/>
    <w:qFormat/>
    <w:rsid w:val="00FD4BB3"/>
    <w:rPr>
      <w:i/>
      <w:iCs/>
      <w:color w:val="000000" w:themeColor="text1"/>
    </w:rPr>
  </w:style>
  <w:style w:type="paragraph" w:styleId="afa">
    <w:name w:val="Quote"/>
    <w:basedOn w:val="a1"/>
    <w:next w:val="a1"/>
    <w:link w:val="Char6"/>
    <w:uiPriority w:val="29"/>
    <w:qFormat/>
    <w:rsid w:val="00FD4BB3"/>
    <w:rPr>
      <w:i/>
      <w:iCs/>
      <w:color w:val="000000" w:themeColor="text1"/>
    </w:rPr>
  </w:style>
  <w:style w:type="character" w:customStyle="1" w:styleId="Char2">
    <w:name w:val="页眉 Char"/>
    <w:basedOn w:val="a2"/>
    <w:link w:val="aa"/>
    <w:uiPriority w:val="99"/>
    <w:qFormat/>
    <w:rsid w:val="00FD4BB3"/>
  </w:style>
  <w:style w:type="character" w:customStyle="1" w:styleId="3Char">
    <w:name w:val="标题 3 Char"/>
    <w:basedOn w:val="a2"/>
    <w:link w:val="31"/>
    <w:uiPriority w:val="9"/>
    <w:qFormat/>
    <w:rsid w:val="00FD4BB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Char">
    <w:name w:val="标题 2 Char"/>
    <w:basedOn w:val="a2"/>
    <w:link w:val="21"/>
    <w:uiPriority w:val="9"/>
    <w:qFormat/>
    <w:rsid w:val="00FD4B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8Char">
    <w:name w:val="标题 8 Char"/>
    <w:basedOn w:val="a2"/>
    <w:link w:val="8"/>
    <w:uiPriority w:val="9"/>
    <w:semiHidden/>
    <w:qFormat/>
    <w:rsid w:val="00FD4BB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har4">
    <w:name w:val="标题 Char"/>
    <w:basedOn w:val="a2"/>
    <w:link w:val="ad"/>
    <w:uiPriority w:val="10"/>
    <w:qFormat/>
    <w:rsid w:val="00FD4B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9Char">
    <w:name w:val="标题 9 Char"/>
    <w:basedOn w:val="a2"/>
    <w:link w:val="9"/>
    <w:uiPriority w:val="9"/>
    <w:semiHidden/>
    <w:qFormat/>
    <w:rsid w:val="00FD4BB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6Char">
    <w:name w:val="标题 6 Char"/>
    <w:basedOn w:val="a2"/>
    <w:link w:val="6"/>
    <w:uiPriority w:val="9"/>
    <w:semiHidden/>
    <w:qFormat/>
    <w:rsid w:val="00FD4BB3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14">
    <w:name w:val="不明显参考1"/>
    <w:basedOn w:val="a2"/>
    <w:uiPriority w:val="31"/>
    <w:qFormat/>
    <w:rsid w:val="00FD4BB3"/>
    <w:rPr>
      <w:smallCaps/>
      <w:color w:val="C0504D" w:themeColor="accent2"/>
      <w:u w:val="single"/>
    </w:rPr>
  </w:style>
  <w:style w:type="character" w:customStyle="1" w:styleId="5Char">
    <w:name w:val="标题 5 Char"/>
    <w:basedOn w:val="a2"/>
    <w:link w:val="5"/>
    <w:uiPriority w:val="9"/>
    <w:semiHidden/>
    <w:qFormat/>
    <w:rsid w:val="00FD4BB3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15">
    <w:name w:val="明显强调1"/>
    <w:basedOn w:val="a2"/>
    <w:uiPriority w:val="21"/>
    <w:qFormat/>
    <w:rsid w:val="00FD4BB3"/>
    <w:rPr>
      <w:b/>
      <w:bCs/>
      <w:i/>
      <w:iCs/>
      <w:color w:val="4F81BD" w:themeColor="accent1"/>
    </w:rPr>
  </w:style>
  <w:style w:type="paragraph" w:styleId="afb">
    <w:name w:val="List Paragraph"/>
    <w:basedOn w:val="a1"/>
    <w:uiPriority w:val="34"/>
    <w:qFormat/>
    <w:rsid w:val="00FD4BB3"/>
    <w:pPr>
      <w:ind w:left="720"/>
      <w:contextualSpacing/>
    </w:pPr>
  </w:style>
  <w:style w:type="character" w:customStyle="1" w:styleId="Char">
    <w:name w:val="宏文本 Char"/>
    <w:basedOn w:val="a2"/>
    <w:link w:val="a5"/>
    <w:uiPriority w:val="99"/>
    <w:qFormat/>
    <w:rsid w:val="00FD4BB3"/>
    <w:rPr>
      <w:rFonts w:ascii="Courier" w:hAnsi="Courier"/>
      <w:sz w:val="20"/>
      <w:szCs w:val="20"/>
    </w:rPr>
  </w:style>
  <w:style w:type="character" w:customStyle="1" w:styleId="7Char">
    <w:name w:val="标题 7 Char"/>
    <w:basedOn w:val="a2"/>
    <w:link w:val="7"/>
    <w:uiPriority w:val="9"/>
    <w:semiHidden/>
    <w:qFormat/>
    <w:rsid w:val="00FD4BB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16">
    <w:name w:val="书籍标题1"/>
    <w:basedOn w:val="a2"/>
    <w:uiPriority w:val="33"/>
    <w:qFormat/>
    <w:rsid w:val="00FD4BB3"/>
    <w:rPr>
      <w:b/>
      <w:bCs/>
      <w:smallCaps/>
      <w:spacing w:val="5"/>
    </w:rPr>
  </w:style>
  <w:style w:type="character" w:customStyle="1" w:styleId="17">
    <w:name w:val="不明显强调1"/>
    <w:basedOn w:val="a2"/>
    <w:uiPriority w:val="19"/>
    <w:qFormat/>
    <w:rsid w:val="00FD4BB3"/>
    <w:rPr>
      <w:i/>
      <w:iCs/>
      <w:color w:val="7F7F7F" w:themeColor="text1" w:themeTint="80"/>
    </w:rPr>
  </w:style>
  <w:style w:type="character" w:customStyle="1" w:styleId="2Char0">
    <w:name w:val="正文文本 2 Char"/>
    <w:basedOn w:val="a2"/>
    <w:link w:val="23"/>
    <w:uiPriority w:val="99"/>
    <w:qFormat/>
    <w:rsid w:val="00FD4BB3"/>
  </w:style>
  <w:style w:type="paragraph" w:styleId="afc">
    <w:name w:val="Balloon Text"/>
    <w:basedOn w:val="a1"/>
    <w:link w:val="Char7"/>
    <w:uiPriority w:val="99"/>
    <w:semiHidden/>
    <w:unhideWhenUsed/>
    <w:rsid w:val="00134A95"/>
    <w:pPr>
      <w:spacing w:after="0" w:line="240" w:lineRule="auto"/>
    </w:pPr>
    <w:rPr>
      <w:sz w:val="18"/>
      <w:szCs w:val="18"/>
    </w:rPr>
  </w:style>
  <w:style w:type="character" w:customStyle="1" w:styleId="Char7">
    <w:name w:val="批注框文本 Char"/>
    <w:basedOn w:val="a2"/>
    <w:link w:val="afc"/>
    <w:uiPriority w:val="99"/>
    <w:semiHidden/>
    <w:rsid w:val="00134A95"/>
    <w:rPr>
      <w:rFonts w:ascii="Times New Roman" w:eastAsia="仿宋_GB2312" w:hAnsi="Times New Roman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1065</Words>
  <Characters>6073</Characters>
  <Application>Microsoft Office Word</Application>
  <DocSecurity>0</DocSecurity>
  <Lines>50</Lines>
  <Paragraphs>14</Paragraphs>
  <ScaleCrop>false</ScaleCrop>
  <Company>微软中国</Company>
  <LinksUpToDate>false</LinksUpToDate>
  <CharactersWithSpaces>7124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caishouping</dc:creator>
  <cp:lastModifiedBy>微软用户</cp:lastModifiedBy>
  <cp:revision>2</cp:revision>
  <cp:lastPrinted>2026-10-22T18:37:00Z</cp:lastPrinted>
  <dcterms:created xsi:type="dcterms:W3CDTF">2026-10-22T08:30:00Z</dcterms:created>
  <dcterms:modified xsi:type="dcterms:W3CDTF">2026-10-22T08:30:00Z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eyJoZGlkIjoiYzU4NWMxY2ExYWFmZGRiYmU4M2JhMDRjMmEzNzNmZWUiLCJ1c2VySWQiOiI0MDUzNjg1NzAifQ==</vt:lpwstr>
  </property>
  <property fmtid="{D5CDD505-2E9C-101B-9397-08002B2CF9AE}" pid="3" name="KSOProductBuildVer">
    <vt:lpwstr>2052-12.1.2.23578</vt:lpwstr>
  </property>
  <property fmtid="{D5CDD505-2E9C-101B-9397-08002B2CF9AE}" pid="4" name="ICV">
    <vt:lpwstr>FCD4A87F025A270B07D6C96A8B2F69C6_43</vt:lpwstr>
  </property>
</Properties>
</file>