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11085">
      <w:pPr>
        <w:spacing w:line="600" w:lineRule="exact"/>
        <w:jc w:val="center"/>
        <w:rPr>
          <w:rFonts w:ascii="宋体" w:hAnsi="宋体" w:eastAsia="方正小标宋简体" w:cs="Times New Roman"/>
          <w:spacing w:val="8"/>
          <w:sz w:val="44"/>
          <w:szCs w:val="44"/>
        </w:rPr>
      </w:pPr>
      <w:r>
        <w:rPr>
          <w:rFonts w:hint="eastAsia" w:ascii="方正小标宋简体" w:hAnsi="宋体" w:eastAsia="方正小标宋简体" w:cs="Times New Roman"/>
          <w:spacing w:val="8"/>
          <w:sz w:val="44"/>
          <w:szCs w:val="44"/>
        </w:rPr>
        <w:t>关于《三元区人民政府关于重新公布征地区片综合地价标准</w:t>
      </w:r>
      <w:r>
        <w:rPr>
          <w:rFonts w:hint="eastAsia" w:ascii="方正小标宋简体" w:hAnsi="宋体" w:eastAsia="方正小标宋简体" w:cs="Times New Roman"/>
          <w:spacing w:val="8"/>
          <w:sz w:val="44"/>
          <w:szCs w:val="44"/>
          <w:lang w:eastAsia="zh-CN"/>
        </w:rPr>
        <w:t>的</w:t>
      </w:r>
      <w:r>
        <w:rPr>
          <w:rFonts w:hint="eastAsia" w:ascii="方正小标宋简体" w:hAnsi="宋体" w:eastAsia="方正小标宋简体" w:cs="Times New Roman"/>
          <w:spacing w:val="8"/>
          <w:sz w:val="44"/>
          <w:szCs w:val="44"/>
          <w:lang w:val="en-US" w:eastAsia="zh-CN"/>
        </w:rPr>
        <w:t>通知</w:t>
      </w:r>
      <w:r>
        <w:rPr>
          <w:rFonts w:hint="eastAsia" w:ascii="方正小标宋简体" w:hAnsi="宋体" w:eastAsia="方正小标宋简体" w:cs="Times New Roman"/>
          <w:spacing w:val="8"/>
          <w:sz w:val="44"/>
          <w:szCs w:val="44"/>
        </w:rPr>
        <w:t>（征求意见稿）》的起草说明</w:t>
      </w:r>
    </w:p>
    <w:p w14:paraId="4A2DBF2F">
      <w:pPr>
        <w:pStyle w:val="2"/>
        <w:keepNext w:val="0"/>
        <w:keepLines w:val="0"/>
        <w:pageBreakBefore w:val="0"/>
        <w:widowControl w:val="0"/>
        <w:kinsoku/>
        <w:wordWrap/>
        <w:overflowPunct/>
        <w:topLinePunct w:val="0"/>
        <w:autoSpaceDE/>
        <w:autoSpaceDN/>
        <w:bidi w:val="0"/>
        <w:spacing w:line="576" w:lineRule="atLeast"/>
        <w:jc w:val="center"/>
        <w:textAlignment w:val="auto"/>
        <w:rPr>
          <w:rFonts w:hint="eastAsia" w:ascii="宋体" w:hAnsi="宋体" w:eastAsia="楷体_GB2312" w:cs="Times New Roman"/>
          <w:color w:val="auto"/>
          <w:spacing w:val="10"/>
          <w:kern w:val="2"/>
          <w:sz w:val="36"/>
          <w:szCs w:val="36"/>
        </w:rPr>
      </w:pPr>
      <w:bookmarkStart w:id="0" w:name="OLE_LINK4"/>
      <w:bookmarkStart w:id="1" w:name="OLE_LINK5"/>
      <w:bookmarkStart w:id="2" w:name="OLE_LINK3"/>
      <w:bookmarkStart w:id="3" w:name="OLE_LINK1"/>
      <w:bookmarkStart w:id="4" w:name="OLE_LINK2"/>
      <w:r>
        <w:rPr>
          <w:rFonts w:hint="eastAsia" w:ascii="宋体" w:hAnsi="宋体" w:eastAsia="楷体_GB2312" w:cs="Times New Roman"/>
          <w:color w:val="auto"/>
          <w:spacing w:val="10"/>
          <w:kern w:val="2"/>
          <w:sz w:val="36"/>
          <w:szCs w:val="36"/>
        </w:rPr>
        <w:t>区自然资源局</w:t>
      </w:r>
    </w:p>
    <w:p w14:paraId="5E9B612A">
      <w:pPr>
        <w:pStyle w:val="2"/>
        <w:keepNext w:val="0"/>
        <w:keepLines w:val="0"/>
        <w:pageBreakBefore w:val="0"/>
        <w:widowControl w:val="0"/>
        <w:kinsoku/>
        <w:wordWrap/>
        <w:overflowPunct/>
        <w:topLinePunct w:val="0"/>
        <w:autoSpaceDE/>
        <w:autoSpaceDN/>
        <w:bidi w:val="0"/>
        <w:spacing w:line="576" w:lineRule="atLeast"/>
        <w:jc w:val="center"/>
        <w:textAlignment w:val="auto"/>
        <w:rPr>
          <w:rFonts w:hint="eastAsia" w:ascii="楷体_GB2312" w:hAnsi="楷体_GB2312" w:eastAsia="楷体_GB2312" w:cs="楷体_GB2312"/>
          <w:color w:val="auto"/>
          <w:spacing w:val="10"/>
          <w:kern w:val="2"/>
          <w:sz w:val="36"/>
          <w:szCs w:val="36"/>
        </w:rPr>
      </w:pPr>
      <w:r>
        <w:rPr>
          <w:rFonts w:hint="eastAsia" w:ascii="楷体_GB2312" w:hAnsi="楷体_GB2312" w:eastAsia="楷体_GB2312" w:cs="楷体_GB2312"/>
          <w:color w:val="auto"/>
          <w:spacing w:val="10"/>
          <w:kern w:val="2"/>
          <w:sz w:val="36"/>
          <w:szCs w:val="36"/>
        </w:rPr>
        <w:t>（202</w:t>
      </w:r>
      <w:r>
        <w:rPr>
          <w:rFonts w:hint="eastAsia" w:ascii="楷体_GB2312" w:hAnsi="楷体_GB2312" w:eastAsia="楷体_GB2312" w:cs="楷体_GB2312"/>
          <w:color w:val="auto"/>
          <w:spacing w:val="10"/>
          <w:kern w:val="2"/>
          <w:sz w:val="36"/>
          <w:szCs w:val="36"/>
          <w:lang w:val="en-US" w:eastAsia="zh-CN"/>
        </w:rPr>
        <w:t>6</w:t>
      </w:r>
      <w:r>
        <w:rPr>
          <w:rFonts w:hint="eastAsia" w:ascii="楷体_GB2312" w:hAnsi="楷体_GB2312" w:eastAsia="楷体_GB2312" w:cs="楷体_GB2312"/>
          <w:color w:val="auto"/>
          <w:spacing w:val="10"/>
          <w:kern w:val="2"/>
          <w:sz w:val="36"/>
          <w:szCs w:val="36"/>
        </w:rPr>
        <w:t>年</w:t>
      </w:r>
      <w:r>
        <w:rPr>
          <w:rFonts w:hint="eastAsia" w:ascii="楷体_GB2312" w:hAnsi="楷体_GB2312" w:eastAsia="楷体_GB2312" w:cs="楷体_GB2312"/>
          <w:color w:val="auto"/>
          <w:spacing w:val="10"/>
          <w:kern w:val="2"/>
          <w:sz w:val="36"/>
          <w:szCs w:val="36"/>
          <w:lang w:val="en-US" w:eastAsia="zh-CN"/>
        </w:rPr>
        <w:t>7</w:t>
      </w:r>
      <w:bookmarkStart w:id="5" w:name="_GoBack"/>
      <w:bookmarkEnd w:id="5"/>
      <w:r>
        <w:rPr>
          <w:rFonts w:hint="eastAsia" w:ascii="楷体_GB2312" w:hAnsi="楷体_GB2312" w:eastAsia="楷体_GB2312" w:cs="楷体_GB2312"/>
          <w:color w:val="auto"/>
          <w:spacing w:val="10"/>
          <w:kern w:val="2"/>
          <w:sz w:val="36"/>
          <w:szCs w:val="36"/>
        </w:rPr>
        <w:t>月）</w:t>
      </w:r>
    </w:p>
    <w:p w14:paraId="35E6FFE8">
      <w:pPr>
        <w:snapToGrid w:val="0"/>
        <w:spacing w:line="600" w:lineRule="exact"/>
        <w:ind w:firstLine="760" w:firstLineChars="200"/>
        <w:rPr>
          <w:rFonts w:hint="eastAsia" w:ascii="楷体_GB2312" w:hAnsi="Times New Roman" w:eastAsia="楷体_GB2312" w:cs="Times New Roman"/>
          <w:spacing w:val="10"/>
          <w:sz w:val="36"/>
          <w:szCs w:val="36"/>
        </w:rPr>
      </w:pPr>
    </w:p>
    <w:p w14:paraId="0DF67849">
      <w:pPr>
        <w:snapToGrid w:val="0"/>
        <w:spacing w:line="576" w:lineRule="exact"/>
        <w:ind w:firstLine="640" w:firstLineChars="200"/>
        <w:rPr>
          <w:rFonts w:hint="eastAsia" w:ascii="黑体" w:hAnsi="黑体" w:eastAsia="黑体" w:cs="宋体"/>
          <w:kern w:val="0"/>
          <w:sz w:val="32"/>
          <w:szCs w:val="32"/>
        </w:rPr>
      </w:pPr>
      <w:r>
        <w:rPr>
          <w:rFonts w:hint="eastAsia" w:ascii="黑体" w:hAnsi="黑体" w:eastAsia="黑体" w:cs="仿宋_GB2312"/>
          <w:sz w:val="32"/>
          <w:szCs w:val="32"/>
        </w:rPr>
        <w:t>一、</w:t>
      </w:r>
      <w:bookmarkEnd w:id="0"/>
      <w:bookmarkEnd w:id="1"/>
      <w:r>
        <w:rPr>
          <w:rFonts w:hint="eastAsia" w:ascii="黑体" w:hAnsi="黑体" w:eastAsia="黑体" w:cs="宋体"/>
          <w:kern w:val="0"/>
          <w:sz w:val="32"/>
          <w:szCs w:val="32"/>
        </w:rPr>
        <w:t>起草的背景和依据</w:t>
      </w:r>
    </w:p>
    <w:bookmarkEnd w:id="2"/>
    <w:bookmarkEnd w:id="3"/>
    <w:bookmarkEnd w:id="4"/>
    <w:p w14:paraId="3D0DC483">
      <w:pPr>
        <w:widowControl/>
        <w:shd w:val="clear" w:color="auto" w:fill="FFFFFF"/>
        <w:spacing w:line="576" w:lineRule="exact"/>
        <w:ind w:firstLine="643" w:firstLineChars="200"/>
        <w:rPr>
          <w:rFonts w:ascii="仿宋_GB2312" w:hAnsi="Times New Roman" w:eastAsia="仿宋_GB2312" w:cs="Times New Roman"/>
          <w:sz w:val="32"/>
          <w:szCs w:val="32"/>
        </w:rPr>
      </w:pPr>
      <w:r>
        <w:rPr>
          <w:rFonts w:hint="eastAsia" w:ascii="楷体_GB2312" w:eastAsia="楷体_GB2312"/>
          <w:b/>
          <w:bCs/>
          <w:sz w:val="32"/>
          <w:szCs w:val="32"/>
        </w:rPr>
        <w:t>（一）背景。</w:t>
      </w:r>
      <w:r>
        <w:rPr>
          <w:rFonts w:hint="eastAsia" w:ascii="仿宋_GB2312" w:hAnsi="Times New Roman" w:eastAsia="仿宋_GB2312" w:cs="Times New Roman"/>
          <w:sz w:val="32"/>
          <w:szCs w:val="32"/>
        </w:rPr>
        <w:t>《中华人民共和国土地管理法》第四十八条明确规定</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制定区片综合地价应当综合考虑土地资源条件、土地区位、道路通达度、土地供求关系、人口以及经济社会发展水平等因素，并至少每三年调整或者重新公布一次。三元区上一轮征地区片综合地价标准即届三年法定重新公布时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需开展征地区片综合地价重新公布工作。</w:t>
      </w:r>
    </w:p>
    <w:p w14:paraId="36BE2E0A">
      <w:pPr>
        <w:widowControl/>
        <w:shd w:val="clear" w:color="auto" w:fill="FFFFFF"/>
        <w:spacing w:line="576" w:lineRule="exact"/>
        <w:ind w:firstLine="643" w:firstLineChars="200"/>
        <w:rPr>
          <w:rFonts w:ascii="仿宋_GB2312" w:hAnsi="Times New Roman" w:eastAsia="仿宋_GB2312" w:cs="Times New Roman"/>
          <w:sz w:val="32"/>
          <w:szCs w:val="32"/>
        </w:rPr>
      </w:pPr>
      <w:r>
        <w:rPr>
          <w:rFonts w:hint="eastAsia" w:ascii="楷体_GB2312" w:eastAsia="楷体_GB2312"/>
          <w:b/>
          <w:bCs/>
          <w:sz w:val="32"/>
          <w:szCs w:val="32"/>
        </w:rPr>
        <w:t>（二）依据。</w:t>
      </w:r>
      <w:r>
        <w:rPr>
          <w:rFonts w:hint="eastAsia" w:ascii="仿宋_GB2312" w:hAnsi="Times New Roman" w:eastAsia="仿宋_GB2312" w:cs="Times New Roman"/>
          <w:sz w:val="32"/>
          <w:szCs w:val="32"/>
        </w:rPr>
        <w:t>根据《中华人民共和国土地管理法》规定</w:t>
      </w:r>
      <w:r>
        <w:rPr>
          <w:rFonts w:hint="eastAsia" w:ascii="仿宋_GB2312" w:hAnsi="Times New Roman" w:eastAsia="仿宋_GB2312" w:cs="Times New Roman"/>
          <w:sz w:val="32"/>
          <w:szCs w:val="32"/>
          <w:lang w:val="en-US" w:eastAsia="zh-CN"/>
        </w:rPr>
        <w:t>与《福建省自然资源厅办公室关于开展征地区片综合地价社会稳定风险评估的通知》（〔2026〕1344号）、福建省自然资源厅有关要求及《福建省委办公厅、福建省政府办公厅关于建立健全重大决策社会稳定风险评估机制的实施意见（试行）》（闽委办发〔2012〕17号）等文件要求。</w:t>
      </w:r>
    </w:p>
    <w:p w14:paraId="3AF4CBE7">
      <w:pPr>
        <w:spacing w:line="576" w:lineRule="exact"/>
        <w:ind w:left="108" w:right="259" w:firstLine="628"/>
        <w:rPr>
          <w:rFonts w:ascii="黑体" w:hAnsi="黑体" w:eastAsia="黑体" w:cs="宋体"/>
          <w:kern w:val="0"/>
          <w:sz w:val="32"/>
          <w:szCs w:val="32"/>
        </w:rPr>
      </w:pPr>
      <w:r>
        <w:rPr>
          <w:rFonts w:hint="eastAsia" w:ascii="黑体" w:hAnsi="黑体" w:eastAsia="黑体" w:cs="宋体"/>
          <w:kern w:val="0"/>
          <w:sz w:val="32"/>
          <w:szCs w:val="32"/>
          <w:lang w:val="en-US" w:eastAsia="zh-CN"/>
        </w:rPr>
        <w:t>二</w:t>
      </w:r>
      <w:r>
        <w:rPr>
          <w:rFonts w:hint="eastAsia" w:ascii="黑体" w:hAnsi="黑体" w:eastAsia="黑体" w:cs="宋体"/>
          <w:kern w:val="0"/>
          <w:sz w:val="32"/>
          <w:szCs w:val="32"/>
        </w:rPr>
        <w:t>、起草过程</w:t>
      </w:r>
    </w:p>
    <w:p w14:paraId="5D923DFC">
      <w:pPr>
        <w:widowControl/>
        <w:shd w:val="clear" w:color="auto" w:fill="FFFFFF"/>
        <w:spacing w:line="576"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征地区片综合地价</w:t>
      </w:r>
      <w:r>
        <w:rPr>
          <w:rFonts w:hint="eastAsia" w:ascii="仿宋_GB2312" w:hAnsi="Times New Roman" w:eastAsia="仿宋_GB2312" w:cs="Times New Roman"/>
          <w:sz w:val="32"/>
          <w:szCs w:val="32"/>
          <w:lang w:val="en-US" w:eastAsia="zh-CN"/>
        </w:rPr>
        <w:t>实施近三年来，</w:t>
      </w:r>
      <w:r>
        <w:rPr>
          <w:rFonts w:hint="eastAsia" w:ascii="仿宋_GB2312" w:hAnsi="Times New Roman" w:eastAsia="仿宋_GB2312" w:cs="Times New Roman"/>
          <w:sz w:val="32"/>
          <w:szCs w:val="32"/>
        </w:rPr>
        <w:t>在对被征地农民</w:t>
      </w:r>
      <w:r>
        <w:rPr>
          <w:rFonts w:hint="eastAsia" w:ascii="仿宋_GB2312" w:hAnsi="Times New Roman" w:eastAsia="仿宋_GB2312" w:cs="Times New Roman"/>
          <w:sz w:val="32"/>
          <w:szCs w:val="32"/>
          <w:lang w:val="en-US" w:eastAsia="zh-CN"/>
        </w:rPr>
        <w:t>进行</w:t>
      </w:r>
      <w:r>
        <w:rPr>
          <w:rFonts w:hint="eastAsia" w:ascii="仿宋_GB2312" w:hAnsi="Times New Roman" w:eastAsia="仿宋_GB2312" w:cs="Times New Roman"/>
          <w:sz w:val="32"/>
          <w:szCs w:val="32"/>
        </w:rPr>
        <w:t>合理补偿、维护被征地农民合法权益、促进社会和谐稳定等方面发挥了重要作用。在沿用上一轮征地区片综合地价标准的基础上，</w:t>
      </w:r>
      <w:r>
        <w:rPr>
          <w:rFonts w:hint="eastAsia" w:ascii="仿宋_GB2312" w:hAnsi="Times New Roman" w:eastAsia="仿宋_GB2312" w:cs="Times New Roman"/>
          <w:sz w:val="32"/>
          <w:szCs w:val="32"/>
          <w:lang w:val="en-US" w:eastAsia="zh-CN"/>
        </w:rPr>
        <w:t>三元</w:t>
      </w:r>
      <w:r>
        <w:rPr>
          <w:rFonts w:hint="eastAsia" w:ascii="仿宋_GB2312" w:hAnsi="Times New Roman" w:eastAsia="仿宋_GB2312" w:cs="Times New Roman"/>
          <w:sz w:val="32"/>
          <w:szCs w:val="32"/>
        </w:rPr>
        <w:t>区自然资源局起草</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通知</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征求意见稿</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并</w:t>
      </w:r>
      <w:r>
        <w:rPr>
          <w:rFonts w:hint="eastAsia" w:ascii="仿宋_GB2312" w:hAnsi="Times New Roman" w:eastAsia="仿宋_GB2312" w:cs="Times New Roman"/>
          <w:sz w:val="32"/>
          <w:szCs w:val="32"/>
        </w:rPr>
        <w:t>向社会公众公开征求意见。</w:t>
      </w:r>
    </w:p>
    <w:p w14:paraId="6300848A">
      <w:pPr>
        <w:spacing w:line="576" w:lineRule="exact"/>
        <w:ind w:left="108" w:right="259" w:firstLine="628"/>
        <w:rPr>
          <w:rFonts w:hint="default" w:ascii="黑体" w:hAnsi="黑体" w:eastAsia="黑体" w:cs="Times New Roman"/>
          <w:color w:val="333333"/>
          <w:kern w:val="0"/>
          <w:sz w:val="32"/>
          <w:szCs w:val="32"/>
          <w:lang w:val="en-US" w:eastAsia="zh-CN"/>
        </w:rPr>
      </w:pPr>
      <w:r>
        <w:rPr>
          <w:rFonts w:hint="eastAsia" w:ascii="黑体" w:hAnsi="黑体" w:eastAsia="黑体" w:cs="宋体"/>
          <w:kern w:val="0"/>
          <w:sz w:val="32"/>
          <w:szCs w:val="32"/>
          <w:lang w:val="en-US" w:eastAsia="zh-CN"/>
        </w:rPr>
        <w:t>三</w:t>
      </w:r>
      <w:r>
        <w:rPr>
          <w:rFonts w:hint="eastAsia" w:ascii="黑体" w:hAnsi="黑体" w:eastAsia="黑体" w:cs="宋体"/>
          <w:kern w:val="0"/>
          <w:sz w:val="32"/>
          <w:szCs w:val="32"/>
        </w:rPr>
        <w:t>、</w:t>
      </w:r>
      <w:r>
        <w:rPr>
          <w:rFonts w:hint="eastAsia" w:ascii="黑体" w:hAnsi="黑体" w:eastAsia="黑体" w:cs="宋体"/>
          <w:kern w:val="0"/>
          <w:sz w:val="32"/>
          <w:szCs w:val="32"/>
          <w:lang w:val="en-US" w:eastAsia="zh-CN"/>
        </w:rPr>
        <w:t>内容说明</w:t>
      </w:r>
    </w:p>
    <w:p w14:paraId="0D4C3A48">
      <w:pPr>
        <w:spacing w:line="576" w:lineRule="exact"/>
        <w:ind w:left="108" w:right="259" w:firstLine="628"/>
        <w:rPr>
          <w:rFonts w:hint="eastAsia" w:ascii="仿宋_GB2312" w:hAnsi="Times New Roman" w:eastAsia="仿宋_GB2312" w:cs="Times New Roman"/>
          <w:sz w:val="32"/>
          <w:szCs w:val="32"/>
        </w:rPr>
      </w:pPr>
      <w:r>
        <w:rPr>
          <w:rFonts w:hint="eastAsia" w:ascii="楷体_GB2312" w:eastAsia="楷体_GB2312"/>
          <w:b/>
          <w:bCs/>
          <w:sz w:val="32"/>
          <w:szCs w:val="32"/>
        </w:rPr>
        <w:t>（一）</w:t>
      </w:r>
      <w:r>
        <w:rPr>
          <w:rFonts w:hint="eastAsia" w:ascii="楷体_GB2312" w:eastAsia="楷体_GB2312"/>
          <w:b/>
          <w:bCs/>
          <w:sz w:val="32"/>
          <w:szCs w:val="32"/>
          <w:lang w:val="en-US" w:eastAsia="zh-CN"/>
        </w:rPr>
        <w:t>适用范围</w:t>
      </w:r>
      <w:r>
        <w:rPr>
          <w:rFonts w:hint="eastAsia" w:ascii="楷体_GB2312" w:eastAsia="楷体_GB2312"/>
          <w:b/>
          <w:bCs/>
          <w:sz w:val="32"/>
          <w:szCs w:val="32"/>
        </w:rPr>
        <w:t>。</w:t>
      </w:r>
      <w:r>
        <w:rPr>
          <w:rFonts w:hint="eastAsia" w:ascii="仿宋_GB2312" w:hAnsi="Times New Roman" w:eastAsia="仿宋_GB2312" w:cs="Times New Roman"/>
          <w:sz w:val="32"/>
          <w:szCs w:val="32"/>
        </w:rPr>
        <w:t>本轮重新公布事项的涉及范围与元政文〔2023〕61号保持一致，覆盖三元区全域4镇1乡7个街道办74个行政村的全部农民集体所有土地，包括农用地、建设用地和未利用地。</w:t>
      </w:r>
    </w:p>
    <w:p w14:paraId="0B54F693">
      <w:pPr>
        <w:spacing w:line="576" w:lineRule="exact"/>
        <w:ind w:left="108" w:right="259" w:firstLine="628"/>
        <w:rPr>
          <w:rFonts w:hint="eastAsia" w:ascii="仿宋_GB2312" w:hAnsi="Times New Roman" w:eastAsia="仿宋_GB2312" w:cs="Times New Roman"/>
          <w:sz w:val="32"/>
          <w:szCs w:val="32"/>
        </w:rPr>
      </w:pPr>
      <w:r>
        <w:rPr>
          <w:rFonts w:hint="eastAsia" w:ascii="楷体_GB2312" w:eastAsia="楷体_GB2312"/>
          <w:b/>
          <w:bCs/>
          <w:sz w:val="32"/>
          <w:szCs w:val="32"/>
        </w:rPr>
        <w:t>（二）</w:t>
      </w:r>
      <w:r>
        <w:rPr>
          <w:rFonts w:hint="eastAsia" w:ascii="楷体_GB2312" w:eastAsia="楷体_GB2312"/>
          <w:b/>
          <w:bCs/>
          <w:sz w:val="32"/>
          <w:szCs w:val="32"/>
          <w:lang w:val="en-US" w:eastAsia="zh-CN"/>
        </w:rPr>
        <w:t>主要内容</w:t>
      </w:r>
      <w:r>
        <w:rPr>
          <w:rFonts w:hint="eastAsia" w:ascii="楷体_GB2312" w:eastAsia="楷体_GB2312"/>
          <w:b/>
          <w:bCs/>
          <w:sz w:val="32"/>
          <w:szCs w:val="32"/>
        </w:rPr>
        <w:t>。</w:t>
      </w:r>
      <w:r>
        <w:rPr>
          <w:rFonts w:hint="eastAsia" w:ascii="仿宋_GB2312" w:hAnsi="Times New Roman" w:eastAsia="仿宋_GB2312" w:cs="Times New Roman"/>
          <w:sz w:val="32"/>
          <w:szCs w:val="32"/>
        </w:rPr>
        <w:t>征地区片综合地价是由土地补偿费和安置补助费两部分组成。其中土地补偿费占40%，安置补助费占60%。征地区片综合地价标准分为3个档次</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征收农用地、建设用地和未利用地的补偿标准按征地区片综合地价和地类调节系数计算。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7E6"/>
    <w:rsid w:val="00172CDA"/>
    <w:rsid w:val="00493B38"/>
    <w:rsid w:val="007477E6"/>
    <w:rsid w:val="00C17142"/>
    <w:rsid w:val="00DF4469"/>
    <w:rsid w:val="00EB4865"/>
    <w:rsid w:val="00ED7399"/>
    <w:rsid w:val="04D87D51"/>
    <w:rsid w:val="3AC11AEB"/>
    <w:rsid w:val="40305B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uiPriority w:val="0"/>
    <w:pPr>
      <w:widowControl w:val="0"/>
      <w:spacing w:after="120"/>
      <w:jc w:val="both"/>
    </w:pPr>
    <w:rPr>
      <w:rFonts w:ascii="Times New Roman" w:hAnsi="Times New Roman" w:eastAsia="宋体" w:cs="Times New Roman"/>
      <w:color w:val="000000"/>
      <w:sz w:val="21"/>
      <w:szCs w:val="24"/>
      <w:lang w:val="en-US" w:eastAsia="zh-CN" w:bidi="ar-SA"/>
    </w:rPr>
  </w:style>
  <w:style w:type="paragraph" w:styleId="3">
    <w:name w:val="footer"/>
    <w:basedOn w:val="1"/>
    <w:link w:val="9"/>
    <w:semiHidden/>
    <w:unhideWhenUsed/>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666</Words>
  <Characters>685</Characters>
  <Lines>5</Lines>
  <Paragraphs>1</Paragraphs>
  <TotalTime>0</TotalTime>
  <ScaleCrop>false</ScaleCrop>
  <LinksUpToDate>false</LinksUpToDate>
  <CharactersWithSpaces>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2026-06-03T02:23:00Z</dcterms:created>
  <dc:creator>PC</dc:creator>
  <cp:lastModifiedBy>じ☆）黒脃汜癔氾Ъáīろ</cp:lastModifiedBy>
  <dcterms:modified xsi:type="dcterms:W3CDTF">2026-10-10T08:29:21Z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eyJoZGlkIjoiM2Q5YzJiMjdhOWRkYjUxOTY4NGI2ODQ5Mzc5NzhiYTkiLCJ1c2VySWQiOiIyMDkyNzgzNjMifQ==</vt:lpwstr>
  </property>
  <property fmtid="{D5CDD505-2E9C-101B-9397-08002B2CF9AE}" pid="3" name="KSOProductBuildVer">
    <vt:lpwstr>2052-12.1.0.28505</vt:lpwstr>
  </property>
  <property fmtid="{D5CDD505-2E9C-101B-9397-08002B2CF9AE}" pid="4" name="ICV">
    <vt:lpwstr>E1BCE05C08784D51BE73572E6ECB6020_13</vt:lpwstr>
  </property>
</Properties>
</file>