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37B80">
      <w:pPr>
        <w:adjustRightInd w:val="0"/>
        <w:snapToGrid w:val="0"/>
        <w:jc w:val="center"/>
        <w:rPr>
          <w:rFonts w:hint="eastAsia" w:ascii="方正小标宋简体" w:eastAsia="方正小标宋简体" w:cs="宋体"/>
          <w:color w:val="000000"/>
          <w:sz w:val="44"/>
          <w:szCs w:val="44"/>
          <w:lang w:val="en-US" w:eastAsia="zh-CN"/>
        </w:rPr>
      </w:pPr>
      <w:r>
        <w:rPr>
          <w:rFonts w:hint="eastAsia" w:ascii="方正小标宋简体" w:eastAsia="方正小标宋简体" w:cs="宋体"/>
          <w:color w:val="000000"/>
          <w:sz w:val="44"/>
          <w:szCs w:val="44"/>
        </w:rPr>
        <w:t>202</w:t>
      </w:r>
      <w:r>
        <w:rPr>
          <w:rFonts w:hint="eastAsia" w:ascii="方正小标宋简体" w:eastAsia="方正小标宋简体" w:cs="宋体"/>
          <w:color w:val="000000"/>
          <w:sz w:val="44"/>
          <w:szCs w:val="44"/>
          <w:lang w:val="en-US" w:eastAsia="zh-CN"/>
        </w:rPr>
        <w:t>6</w:t>
      </w:r>
      <w:r>
        <w:rPr>
          <w:rFonts w:hint="eastAsia" w:ascii="方正小标宋简体" w:eastAsia="方正小标宋简体" w:cs="宋体"/>
          <w:color w:val="000000"/>
          <w:sz w:val="44"/>
          <w:szCs w:val="44"/>
        </w:rPr>
        <w:t>年</w:t>
      </w:r>
      <w:r>
        <w:rPr>
          <w:rFonts w:hint="eastAsia" w:ascii="方正小标宋简体" w:eastAsia="方正小标宋简体" w:cs="宋体"/>
          <w:color w:val="000000"/>
          <w:sz w:val="44"/>
          <w:szCs w:val="44"/>
          <w:lang w:val="en-US" w:eastAsia="zh-CN"/>
        </w:rPr>
        <w:t>三元区</w:t>
      </w:r>
      <w:r>
        <w:rPr>
          <w:rFonts w:hint="eastAsia" w:ascii="方正小标宋简体" w:eastAsia="方正小标宋简体" w:cs="宋体"/>
          <w:color w:val="000000"/>
          <w:sz w:val="44"/>
          <w:szCs w:val="44"/>
        </w:rPr>
        <w:t>高素质农民</w:t>
      </w:r>
      <w:r>
        <w:rPr>
          <w:rFonts w:hint="eastAsia" w:ascii="方正小标宋简体" w:eastAsia="方正小标宋简体" w:cs="宋体"/>
          <w:color w:val="000000"/>
          <w:sz w:val="44"/>
          <w:szCs w:val="44"/>
          <w:lang w:val="en-US" w:eastAsia="zh-CN"/>
        </w:rPr>
        <w:t>培育</w:t>
      </w:r>
    </w:p>
    <w:p w14:paraId="4E587A4B">
      <w:pPr>
        <w:adjustRightInd w:val="0"/>
        <w:snapToGrid w:val="0"/>
        <w:jc w:val="center"/>
        <w:rPr>
          <w:rFonts w:hint="eastAsia" w:ascii="方正小标宋简体" w:eastAsia="方正小标宋简体" w:cs="方正小标宋简体"/>
          <w:color w:val="000000"/>
          <w:sz w:val="44"/>
          <w:szCs w:val="44"/>
          <w:lang w:eastAsia="zh-CN"/>
        </w:rPr>
      </w:pPr>
      <w:r>
        <w:rPr>
          <w:rFonts w:hint="eastAsia" w:ascii="方正小标宋简体" w:eastAsia="方正小标宋简体" w:cs="方正小标宋简体"/>
          <w:color w:val="000000"/>
          <w:sz w:val="44"/>
          <w:szCs w:val="44"/>
        </w:rPr>
        <w:t>项目</w:t>
      </w:r>
      <w:r>
        <w:rPr>
          <w:rFonts w:hint="eastAsia" w:ascii="方正小标宋简体" w:eastAsia="方正小标宋简体" w:cs="宋体"/>
          <w:color w:val="000000"/>
          <w:sz w:val="44"/>
          <w:szCs w:val="44"/>
        </w:rPr>
        <w:t>（</w:t>
      </w:r>
      <w:r>
        <w:rPr>
          <w:rFonts w:hint="eastAsia" w:ascii="方正小标宋简体" w:eastAsia="方正小标宋简体" w:cs="宋体"/>
          <w:color w:val="000000"/>
          <w:sz w:val="44"/>
          <w:szCs w:val="44"/>
          <w:lang w:val="en-US" w:eastAsia="zh-CN"/>
        </w:rPr>
        <w:t>中央</w:t>
      </w:r>
      <w:r>
        <w:rPr>
          <w:rFonts w:hint="eastAsia" w:ascii="方正小标宋简体" w:eastAsia="方正小标宋简体" w:cs="宋体"/>
          <w:color w:val="000000"/>
          <w:sz w:val="44"/>
          <w:szCs w:val="44"/>
        </w:rPr>
        <w:t>资金）</w:t>
      </w:r>
      <w:r>
        <w:rPr>
          <w:rFonts w:hint="eastAsia" w:ascii="方正小标宋简体" w:eastAsia="方正小标宋简体" w:cs="宋体"/>
          <w:color w:val="000000"/>
          <w:sz w:val="44"/>
          <w:szCs w:val="44"/>
          <w:lang w:val="en-US" w:eastAsia="zh-CN"/>
        </w:rPr>
        <w:t>实施</w:t>
      </w:r>
      <w:r>
        <w:rPr>
          <w:rFonts w:hint="eastAsia" w:ascii="方正小标宋简体" w:eastAsia="方正小标宋简体" w:cs="方正小标宋简体"/>
          <w:color w:val="000000"/>
          <w:sz w:val="44"/>
          <w:szCs w:val="44"/>
        </w:rPr>
        <w:t>方案</w:t>
      </w:r>
      <w:r>
        <w:rPr>
          <w:rFonts w:hint="eastAsia" w:ascii="方正小标宋简体" w:eastAsia="方正小标宋简体" w:cs="方正小标宋简体"/>
          <w:color w:val="000000"/>
          <w:sz w:val="44"/>
          <w:szCs w:val="44"/>
          <w:lang w:eastAsia="zh-CN"/>
        </w:rPr>
        <w:t>（</w:t>
      </w:r>
      <w:r>
        <w:rPr>
          <w:rFonts w:hint="eastAsia" w:ascii="方正小标宋简体" w:eastAsia="方正小标宋简体" w:cs="方正小标宋简体"/>
          <w:color w:val="000000"/>
          <w:sz w:val="44"/>
          <w:szCs w:val="44"/>
          <w:lang w:val="en-US" w:eastAsia="zh-CN"/>
        </w:rPr>
        <w:t>征求意见稿</w:t>
      </w:r>
      <w:r>
        <w:rPr>
          <w:rFonts w:hint="eastAsia" w:ascii="方正小标宋简体" w:eastAsia="方正小标宋简体" w:cs="方正小标宋简体"/>
          <w:color w:val="000000"/>
          <w:sz w:val="44"/>
          <w:szCs w:val="44"/>
          <w:lang w:eastAsia="zh-CN"/>
        </w:rPr>
        <w:t>）</w:t>
      </w:r>
    </w:p>
    <w:p w14:paraId="478923C5">
      <w:pPr>
        <w:rPr>
          <w:rFonts w:eastAsia="仿宋_GB2312"/>
          <w:color w:val="000000"/>
          <w:sz w:val="32"/>
          <w:szCs w:val="32"/>
        </w:rPr>
      </w:pPr>
    </w:p>
    <w:p w14:paraId="6889A79E">
      <w:pPr>
        <w:spacing w:line="580" w:lineRule="exact"/>
        <w:ind w:firstLine="640" w:firstLineChars="200"/>
        <w:rPr>
          <w:rFonts w:hint="default" w:ascii="仿宋_GB2312" w:hAnsi="Batang" w:eastAsia="仿宋_GB2312" w:cs="仿宋_GB2312"/>
          <w:sz w:val="32"/>
          <w:szCs w:val="32"/>
          <w:lang w:val="en-US" w:eastAsia="zh-CN"/>
        </w:rPr>
      </w:pPr>
      <w:r>
        <w:rPr>
          <w:rFonts w:hint="eastAsia" w:ascii="仿宋_GB2312" w:hAnsi="Batang" w:eastAsia="仿宋_GB2312" w:cs="仿宋_GB2312"/>
          <w:sz w:val="32"/>
          <w:szCs w:val="32"/>
        </w:rPr>
        <w:t>根据《福建省财政厅 福建省农业农村厅关于下达</w:t>
      </w:r>
      <w:r>
        <w:rPr>
          <w:rFonts w:hint="eastAsia" w:ascii="仿宋_GB2312" w:hAnsi="Batang" w:eastAsia="仿宋_GB2312" w:cs="仿宋_GB2312"/>
          <w:sz w:val="32"/>
          <w:szCs w:val="32"/>
          <w:lang w:val="en-US" w:eastAsia="zh-CN"/>
        </w:rPr>
        <w:t>2026年</w:t>
      </w:r>
      <w:r>
        <w:rPr>
          <w:rFonts w:hint="eastAsia" w:ascii="仿宋_GB2312" w:hAnsi="Batang" w:eastAsia="仿宋_GB2312" w:cs="仿宋_GB2312"/>
          <w:sz w:val="32"/>
          <w:szCs w:val="32"/>
        </w:rPr>
        <w:t>中央农业经营主体能力提升资金的通知》（闽财农指〔202</w:t>
      </w:r>
      <w:r>
        <w:rPr>
          <w:rFonts w:hint="eastAsia" w:ascii="仿宋_GB2312" w:hAnsi="Batang" w:eastAsia="仿宋_GB2312" w:cs="仿宋_GB2312"/>
          <w:sz w:val="32"/>
          <w:szCs w:val="32"/>
          <w:lang w:val="en-US" w:eastAsia="zh-CN"/>
        </w:rPr>
        <w:t>6</w:t>
      </w:r>
      <w:r>
        <w:rPr>
          <w:rFonts w:hint="eastAsia" w:ascii="仿宋_GB2312" w:hAnsi="Batang" w:eastAsia="仿宋_GB2312" w:cs="仿宋_GB2312"/>
          <w:sz w:val="32"/>
          <w:szCs w:val="32"/>
        </w:rPr>
        <w:t>〕</w:t>
      </w:r>
      <w:r>
        <w:rPr>
          <w:rFonts w:hint="eastAsia" w:ascii="仿宋_GB2312" w:hAnsi="Batang" w:eastAsia="仿宋_GB2312" w:cs="仿宋_GB2312"/>
          <w:sz w:val="32"/>
          <w:szCs w:val="32"/>
          <w:lang w:val="en-US" w:eastAsia="zh-CN"/>
        </w:rPr>
        <w:t>2</w:t>
      </w:r>
      <w:r>
        <w:rPr>
          <w:rFonts w:hint="eastAsia" w:ascii="仿宋_GB2312" w:hAnsi="Batang" w:eastAsia="仿宋_GB2312" w:cs="仿宋_GB2312"/>
          <w:sz w:val="32"/>
          <w:szCs w:val="32"/>
        </w:rPr>
        <w:t>5号）、《福建省农业农村厅 福建省财政厅关于印发202</w:t>
      </w:r>
      <w:r>
        <w:rPr>
          <w:rFonts w:hint="eastAsia" w:ascii="仿宋_GB2312" w:hAnsi="Batang" w:eastAsia="仿宋_GB2312" w:cs="仿宋_GB2312"/>
          <w:sz w:val="32"/>
          <w:szCs w:val="32"/>
          <w:lang w:val="en-US" w:eastAsia="zh-CN"/>
        </w:rPr>
        <w:t>6</w:t>
      </w:r>
      <w:r>
        <w:rPr>
          <w:rFonts w:hint="eastAsia" w:ascii="仿宋_GB2312" w:hAnsi="Batang" w:eastAsia="仿宋_GB2312" w:cs="仿宋_GB2312"/>
          <w:sz w:val="32"/>
          <w:szCs w:val="32"/>
        </w:rPr>
        <w:t>年高素质农民培育项目（中央资金）实施方案的通知》（闽农综〔202</w:t>
      </w:r>
      <w:r>
        <w:rPr>
          <w:rFonts w:hint="eastAsia" w:ascii="仿宋_GB2312" w:hAnsi="Batang" w:eastAsia="仿宋_GB2312" w:cs="仿宋_GB2312"/>
          <w:sz w:val="32"/>
          <w:szCs w:val="32"/>
          <w:lang w:val="en-US" w:eastAsia="zh-CN"/>
        </w:rPr>
        <w:t>6</w:t>
      </w:r>
      <w:r>
        <w:rPr>
          <w:rFonts w:hint="eastAsia" w:ascii="仿宋_GB2312" w:hAnsi="Batang" w:eastAsia="仿宋_GB2312" w:cs="仿宋_GB2312"/>
          <w:sz w:val="32"/>
          <w:szCs w:val="32"/>
        </w:rPr>
        <w:t>〕</w:t>
      </w:r>
      <w:r>
        <w:rPr>
          <w:rFonts w:hint="eastAsia" w:ascii="仿宋_GB2312" w:hAnsi="Batang" w:eastAsia="仿宋_GB2312" w:cs="仿宋_GB2312"/>
          <w:sz w:val="32"/>
          <w:szCs w:val="32"/>
          <w:lang w:val="en-US" w:eastAsia="zh-CN"/>
        </w:rPr>
        <w:t>74</w:t>
      </w:r>
      <w:r>
        <w:rPr>
          <w:rFonts w:hint="eastAsia" w:ascii="仿宋_GB2312" w:hAnsi="Batang" w:eastAsia="仿宋_GB2312" w:cs="仿宋_GB2312"/>
          <w:sz w:val="32"/>
          <w:szCs w:val="32"/>
        </w:rPr>
        <w:t>号）</w:t>
      </w:r>
      <w:r>
        <w:rPr>
          <w:rFonts w:hint="eastAsia" w:ascii="仿宋_GB2312" w:hAnsi="Batang" w:eastAsia="仿宋_GB2312" w:cs="仿宋_GB2312"/>
          <w:sz w:val="32"/>
          <w:szCs w:val="32"/>
          <w:lang w:eastAsia="zh-CN"/>
        </w:rPr>
        <w:t>、</w:t>
      </w:r>
      <w:r>
        <w:rPr>
          <w:rFonts w:hint="eastAsia" w:ascii="仿宋_GB2312" w:hAnsi="Batang" w:eastAsia="仿宋_GB2312" w:cs="仿宋_GB2312"/>
          <w:sz w:val="32"/>
          <w:szCs w:val="32"/>
          <w:lang w:val="en-US" w:eastAsia="zh-CN"/>
        </w:rPr>
        <w:t>《三明市财政局 三明市农业农村局下达2026年中央农业经营主体能力提升资金（高素质农民培育项目）的通知》（明财农指</w:t>
      </w:r>
      <w:r>
        <w:rPr>
          <w:rFonts w:hint="eastAsia" w:ascii="仿宋_GB2312" w:hAnsi="Batang" w:eastAsia="仿宋_GB2312" w:cs="仿宋_GB2312"/>
          <w:sz w:val="32"/>
          <w:szCs w:val="32"/>
        </w:rPr>
        <w:t>〔202</w:t>
      </w:r>
      <w:r>
        <w:rPr>
          <w:rFonts w:hint="eastAsia" w:ascii="仿宋_GB2312" w:hAnsi="Batang" w:eastAsia="仿宋_GB2312" w:cs="仿宋_GB2312"/>
          <w:sz w:val="32"/>
          <w:szCs w:val="32"/>
          <w:lang w:val="en-US" w:eastAsia="zh-CN"/>
        </w:rPr>
        <w:t>6</w:t>
      </w:r>
      <w:r>
        <w:rPr>
          <w:rFonts w:hint="eastAsia" w:ascii="仿宋_GB2312" w:hAnsi="Batang" w:eastAsia="仿宋_GB2312" w:cs="仿宋_GB2312"/>
          <w:sz w:val="32"/>
          <w:szCs w:val="32"/>
        </w:rPr>
        <w:t>〕</w:t>
      </w:r>
      <w:r>
        <w:rPr>
          <w:rFonts w:hint="eastAsia" w:ascii="仿宋_GB2312" w:hAnsi="Batang" w:eastAsia="仿宋_GB2312" w:cs="仿宋_GB2312"/>
          <w:sz w:val="32"/>
          <w:szCs w:val="32"/>
          <w:lang w:val="en-US" w:eastAsia="zh-CN"/>
        </w:rPr>
        <w:t>13号）文件精神，结合三元区实际制定本方案。</w:t>
      </w:r>
    </w:p>
    <w:p w14:paraId="26B2918D">
      <w:pPr>
        <w:spacing w:line="580" w:lineRule="exact"/>
        <w:ind w:firstLine="640" w:firstLineChars="200"/>
        <w:rPr>
          <w:rFonts w:ascii="黑体" w:eastAsia="黑体" w:cs="黑体"/>
          <w:sz w:val="32"/>
          <w:szCs w:val="32"/>
        </w:rPr>
      </w:pPr>
      <w:r>
        <w:rPr>
          <w:rFonts w:hint="eastAsia" w:ascii="黑体" w:eastAsia="黑体" w:cs="黑体"/>
          <w:sz w:val="32"/>
          <w:szCs w:val="32"/>
        </w:rPr>
        <w:t>一、目标任务</w:t>
      </w:r>
    </w:p>
    <w:p w14:paraId="47976002">
      <w:pPr>
        <w:spacing w:line="580" w:lineRule="exact"/>
        <w:ind w:firstLine="640" w:firstLineChars="200"/>
        <w:rPr>
          <w:rFonts w:hint="default" w:ascii="仿宋_GB2312" w:hAnsi="Batang" w:eastAsia="仿宋_GB2312" w:cs="仿宋_GB2312"/>
          <w:sz w:val="32"/>
          <w:szCs w:val="32"/>
          <w:lang w:val="en-US" w:eastAsia="zh-CN"/>
        </w:rPr>
      </w:pPr>
      <w:r>
        <w:rPr>
          <w:rFonts w:hint="eastAsia" w:ascii="仿宋_GB2312" w:hAnsi="Batang" w:eastAsia="仿宋_GB2312" w:cs="仿宋_GB2312"/>
          <w:sz w:val="32"/>
          <w:szCs w:val="32"/>
          <w:lang w:val="en-US" w:eastAsia="zh-CN"/>
        </w:rPr>
        <w:t>2026年，上级下达我区高素质农民培育中央资金17万元，培育高素质农民50人。</w:t>
      </w:r>
    </w:p>
    <w:p w14:paraId="1D79631B">
      <w:pPr>
        <w:spacing w:line="580" w:lineRule="exact"/>
        <w:ind w:firstLine="640" w:firstLineChars="200"/>
        <w:rPr>
          <w:rFonts w:hint="default" w:ascii="黑体" w:eastAsia="黑体" w:cs="黑体"/>
          <w:sz w:val="32"/>
          <w:szCs w:val="32"/>
          <w:lang w:val="en-US" w:eastAsia="zh-CN"/>
        </w:rPr>
      </w:pPr>
      <w:r>
        <w:rPr>
          <w:rFonts w:hint="eastAsia" w:ascii="黑体" w:eastAsia="黑体" w:cs="黑体"/>
          <w:sz w:val="32"/>
          <w:szCs w:val="32"/>
        </w:rPr>
        <w:t>二、</w:t>
      </w:r>
      <w:r>
        <w:rPr>
          <w:rFonts w:hint="eastAsia" w:ascii="黑体" w:eastAsia="黑体" w:cs="黑体"/>
          <w:sz w:val="32"/>
          <w:szCs w:val="32"/>
          <w:lang w:val="en-US" w:eastAsia="zh-CN"/>
        </w:rPr>
        <w:t>重点工作</w:t>
      </w:r>
    </w:p>
    <w:p w14:paraId="6D101410">
      <w:pPr>
        <w:spacing w:line="580" w:lineRule="exact"/>
        <w:ind w:firstLine="640" w:firstLineChars="200"/>
        <w:rPr>
          <w:rFonts w:hint="eastAsia" w:ascii="仿宋_GB2312" w:hAnsi="Batang" w:eastAsia="仿宋_GB2312" w:cs="仿宋_GB2312"/>
          <w:sz w:val="32"/>
          <w:szCs w:val="32"/>
          <w:lang w:val="en-US" w:eastAsia="zh-CN"/>
        </w:rPr>
      </w:pPr>
      <w:r>
        <w:rPr>
          <w:rFonts w:hint="eastAsia" w:ascii="仿宋_GB2312" w:hAnsi="Batang" w:eastAsia="仿宋_GB2312" w:cs="仿宋_GB2312"/>
          <w:sz w:val="32"/>
          <w:szCs w:val="32"/>
          <w:lang w:val="en-US" w:eastAsia="zh-CN"/>
        </w:rPr>
        <w:t>紧紧围绕农业机械化高质量发展、农机作业服务质量提升两大核心任务，把专业农机手队伍培育作为重要着力点，聚焦机械化赋能粮油作物大面积单产提升关键环节组织实施培训，突出实操教学，持续提升农机手实操能力和综合职业素养，组织开展联合收割机驾驶技能专题培训班。</w:t>
      </w:r>
    </w:p>
    <w:p w14:paraId="43EE01FB">
      <w:pPr>
        <w:spacing w:line="580" w:lineRule="exact"/>
        <w:ind w:firstLine="640" w:firstLineChars="200"/>
        <w:rPr>
          <w:rFonts w:hint="eastAsia" w:ascii="黑体" w:eastAsia="黑体" w:cs="黑体"/>
          <w:sz w:val="32"/>
          <w:szCs w:val="32"/>
        </w:rPr>
      </w:pPr>
      <w:r>
        <w:rPr>
          <w:rFonts w:hint="eastAsia" w:ascii="黑体" w:eastAsia="黑体" w:cs="黑体"/>
          <w:sz w:val="32"/>
          <w:szCs w:val="32"/>
          <w:lang w:val="en-US" w:eastAsia="zh-CN"/>
        </w:rPr>
        <w:t>三</w:t>
      </w:r>
      <w:r>
        <w:rPr>
          <w:rFonts w:hint="eastAsia" w:ascii="黑体" w:eastAsia="黑体" w:cs="黑体"/>
          <w:sz w:val="32"/>
          <w:szCs w:val="32"/>
        </w:rPr>
        <w:t>、资金使用</w:t>
      </w:r>
    </w:p>
    <w:p w14:paraId="50DB21E9">
      <w:pPr>
        <w:spacing w:line="580" w:lineRule="exact"/>
        <w:ind w:firstLine="643" w:firstLineChars="200"/>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（一）</w:t>
      </w:r>
      <w:r>
        <w:rPr>
          <w:rFonts w:hint="eastAsia" w:ascii="楷体_GB2312" w:hAnsi="楷体_GB2312" w:eastAsia="楷体_GB2312" w:cs="楷体_GB2312"/>
          <w:b/>
          <w:bCs/>
          <w:sz w:val="32"/>
          <w:szCs w:val="32"/>
          <w:lang w:val="en-US" w:eastAsia="zh-CN"/>
        </w:rPr>
        <w:t>补助标准与范围。</w:t>
      </w:r>
      <w:r>
        <w:rPr>
          <w:rFonts w:hint="eastAsia" w:ascii="仿宋_GB2312" w:hAnsi="Batang" w:eastAsia="仿宋_GB2312" w:cs="仿宋_GB2312"/>
          <w:sz w:val="32"/>
          <w:szCs w:val="32"/>
          <w:lang w:val="en-US" w:eastAsia="zh-CN"/>
        </w:rPr>
        <w:t>高素质农民培训每人每天费用不超过450元。培育项目资金只能用于支付高素质农民培育各环节必须费用和验收费用，不能用于农业农村局工作支出或其他农民教育培训支出。农业农村局不得列支招投标费用、审计费用、项目管理人员差旅费补贴、第三方评估费用等应从本级业务经费支出的费用。不得给培育对象发放补助。</w:t>
      </w:r>
    </w:p>
    <w:p w14:paraId="34746E19">
      <w:pPr>
        <w:spacing w:line="580" w:lineRule="exact"/>
        <w:ind w:firstLine="643" w:firstLineChars="200"/>
        <w:rPr>
          <w:rFonts w:hint="default" w:ascii="仿宋_GB2312" w:hAnsi="Batang" w:eastAsia="仿宋_GB2312" w:cs="仿宋_GB2312"/>
          <w:sz w:val="32"/>
          <w:szCs w:val="32"/>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rPr>
        <w:t>）验收支付。</w:t>
      </w:r>
      <w:r>
        <w:rPr>
          <w:rFonts w:hint="eastAsia" w:ascii="仿宋_GB2312" w:hAnsi="Batang" w:eastAsia="仿宋_GB2312" w:cs="仿宋_GB2312"/>
          <w:sz w:val="32"/>
          <w:szCs w:val="32"/>
          <w:lang w:val="en-US" w:eastAsia="zh-CN"/>
        </w:rPr>
        <w:t>区</w:t>
      </w:r>
      <w:r>
        <w:rPr>
          <w:rFonts w:hint="eastAsia" w:ascii="仿宋_GB2312" w:hAnsi="Batang" w:eastAsia="仿宋_GB2312" w:cs="仿宋_GB2312"/>
          <w:sz w:val="32"/>
          <w:szCs w:val="32"/>
        </w:rPr>
        <w:t>农业农村局督促培训任务承担单位建立培训台账，切实做到台账明晰，加强对培训单位各班次的检查验收，准确掌握培训情况及成效，确保档案资料完整准确。</w:t>
      </w:r>
      <w:r>
        <w:rPr>
          <w:rFonts w:hint="eastAsia" w:ascii="仿宋_GB2312" w:hAnsi="Batang" w:eastAsia="仿宋_GB2312" w:cs="仿宋_GB2312"/>
          <w:sz w:val="32"/>
          <w:szCs w:val="32"/>
          <w:lang w:val="en-US" w:eastAsia="zh-CN"/>
        </w:rPr>
        <w:t>高素质农民培训费用经验收合格后一次性拨付。</w:t>
      </w:r>
    </w:p>
    <w:p w14:paraId="62F26302">
      <w:pPr>
        <w:tabs>
          <w:tab w:val="left" w:pos="6400"/>
        </w:tabs>
        <w:wordWrap/>
        <w:adjustRightInd/>
        <w:snapToGrid w:val="0"/>
        <w:spacing w:line="560" w:lineRule="exact"/>
        <w:ind w:left="0" w:leftChars="0" w:firstLine="643" w:firstLineChars="200"/>
        <w:rPr>
          <w:rFonts w:hint="eastAsia" w:ascii="仿宋_GB2312" w:hAnsi="Batang" w:eastAsia="仿宋_GB2312" w:cs="仿宋_GB2312"/>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）强化资金监管。</w:t>
      </w:r>
      <w:r>
        <w:rPr>
          <w:rFonts w:hint="eastAsia" w:ascii="仿宋_GB2312" w:hAnsi="Batang" w:eastAsia="仿宋_GB2312" w:cs="仿宋_GB2312"/>
          <w:sz w:val="32"/>
          <w:szCs w:val="32"/>
          <w:lang w:val="en-US" w:eastAsia="zh-CN"/>
        </w:rPr>
        <w:t>严格遵守中央财政项目资金有关开支规定，</w:t>
      </w:r>
      <w:r>
        <w:rPr>
          <w:rFonts w:hint="eastAsia" w:ascii="仿宋_GB2312" w:hAnsi="Batang" w:eastAsia="仿宋_GB2312" w:cs="仿宋_GB2312"/>
          <w:sz w:val="32"/>
          <w:szCs w:val="32"/>
          <w:lang w:val="zh-CN" w:eastAsia="zh-CN"/>
        </w:rPr>
        <w:t>按照“谁使用、谁负责”的原则，加强资金监管，规范资金使用，</w:t>
      </w:r>
      <w:r>
        <w:rPr>
          <w:rFonts w:hint="eastAsia" w:ascii="仿宋_GB2312" w:hAnsi="Batang" w:eastAsia="仿宋_GB2312" w:cs="仿宋_GB2312"/>
          <w:sz w:val="32"/>
          <w:szCs w:val="32"/>
          <w:lang w:val="en-US" w:eastAsia="zh-CN"/>
        </w:rPr>
        <w:t>坚</w:t>
      </w:r>
      <w:r>
        <w:rPr>
          <w:rFonts w:hint="eastAsia" w:ascii="仿宋_GB2312" w:hAnsi="Batang" w:eastAsia="仿宋_GB2312" w:cs="仿宋_GB2312"/>
          <w:sz w:val="32"/>
          <w:szCs w:val="32"/>
        </w:rPr>
        <w:t>决杜绝资金使用管理</w:t>
      </w:r>
      <w:r>
        <w:rPr>
          <w:rFonts w:hint="eastAsia" w:ascii="仿宋_GB2312" w:hAnsi="Batang" w:eastAsia="仿宋_GB2312" w:cs="仿宋_GB2312"/>
          <w:sz w:val="32"/>
          <w:szCs w:val="32"/>
          <w:lang w:val="zh-CN" w:eastAsia="zh-CN"/>
        </w:rPr>
        <w:t>上的违纪违规问题。</w:t>
      </w:r>
    </w:p>
    <w:p w14:paraId="32F65B82">
      <w:pPr>
        <w:spacing w:line="580" w:lineRule="exact"/>
        <w:ind w:firstLine="640" w:firstLineChars="200"/>
        <w:rPr>
          <w:rFonts w:hint="default" w:ascii="黑体" w:eastAsia="黑体" w:cs="黑体"/>
          <w:sz w:val="32"/>
          <w:szCs w:val="32"/>
          <w:lang w:val="en-US" w:eastAsia="zh-CN"/>
        </w:rPr>
      </w:pPr>
      <w:r>
        <w:rPr>
          <w:rFonts w:hint="eastAsia" w:ascii="黑体" w:eastAsia="黑体" w:cs="黑体"/>
          <w:sz w:val="32"/>
          <w:szCs w:val="32"/>
          <w:lang w:val="en-US" w:eastAsia="zh-CN"/>
        </w:rPr>
        <w:t>四</w:t>
      </w:r>
      <w:r>
        <w:rPr>
          <w:rFonts w:hint="eastAsia" w:ascii="黑体" w:eastAsia="黑体" w:cs="黑体"/>
          <w:sz w:val="32"/>
          <w:szCs w:val="32"/>
        </w:rPr>
        <w:t>、</w:t>
      </w:r>
      <w:r>
        <w:rPr>
          <w:rFonts w:hint="eastAsia" w:ascii="黑体" w:eastAsia="黑体" w:cs="黑体"/>
          <w:sz w:val="32"/>
          <w:szCs w:val="32"/>
          <w:lang w:val="en-US" w:eastAsia="zh-CN"/>
        </w:rPr>
        <w:t>组织实施</w:t>
      </w:r>
    </w:p>
    <w:p w14:paraId="4CD55A93">
      <w:pPr>
        <w:spacing w:line="580" w:lineRule="exact"/>
        <w:ind w:firstLine="643" w:firstLineChars="200"/>
        <w:rPr>
          <w:rFonts w:hint="default" w:ascii="仿宋_GB2312" w:eastAsia="仿宋_GB2312" w:cs="宋体"/>
          <w:kern w:val="0"/>
          <w:sz w:val="32"/>
          <w:szCs w:val="32"/>
          <w:lang w:val="en-US" w:eastAsia="zh-CN"/>
        </w:rPr>
      </w:pPr>
      <w:r>
        <w:rPr>
          <w:rFonts w:hint="eastAsia" w:ascii="楷体_GB2312" w:eastAsia="楷体_GB2312" w:cs="宋体"/>
          <w:b/>
          <w:bCs/>
          <w:kern w:val="0"/>
          <w:sz w:val="32"/>
          <w:szCs w:val="32"/>
        </w:rPr>
        <w:t>（一）</w:t>
      </w:r>
      <w:r>
        <w:rPr>
          <w:rFonts w:hint="eastAsia" w:ascii="楷体_GB2312" w:eastAsia="楷体_GB2312" w:cs="宋体"/>
          <w:b/>
          <w:bCs/>
          <w:kern w:val="0"/>
          <w:sz w:val="32"/>
          <w:szCs w:val="32"/>
          <w:lang w:val="en-US" w:eastAsia="zh-CN"/>
        </w:rPr>
        <w:t>遴选培育对象</w:t>
      </w:r>
      <w:r>
        <w:rPr>
          <w:rFonts w:hint="eastAsia" w:ascii="楷体_GB2312" w:eastAsia="楷体_GB2312" w:cs="宋体"/>
          <w:b/>
          <w:bCs/>
          <w:kern w:val="0"/>
          <w:sz w:val="32"/>
          <w:szCs w:val="32"/>
        </w:rPr>
        <w:t>。</w:t>
      </w:r>
      <w:r>
        <w:rPr>
          <w:rFonts w:hint="eastAsia" w:ascii="仿宋_GB2312" w:hAnsi="Batang" w:eastAsia="仿宋_GB2312" w:cs="仿宋_GB2312"/>
          <w:sz w:val="32"/>
          <w:szCs w:val="32"/>
          <w:lang w:val="en-US" w:eastAsia="zh-CN"/>
        </w:rPr>
        <w:t>高素质农民培育对象为正在从事或有意愿从事农业农村领域生产、经营、服务的农民和返乡人员，各乡镇要加强培育政策信息的宣传，认真做好培育对象的摸底调查和遴选工作，组织有意愿、有需求、有基础，符合条件的农民，登录中国农村远程教育网（www.ngx.net.cn）“农民教育培训申报系统”或手机下载“云上智农”APP报名参加培训</w:t>
      </w:r>
      <w:r>
        <w:rPr>
          <w:rFonts w:hint="eastAsia" w:ascii="仿宋_GB2312" w:hAnsi="宋体" w:eastAsia="仿宋_GB2312" w:cs="仿宋_GB2312"/>
          <w:sz w:val="32"/>
          <w:szCs w:val="32"/>
          <w:lang w:val="en-US" w:eastAsia="zh-CN"/>
        </w:rPr>
        <w:t>。</w:t>
      </w:r>
    </w:p>
    <w:p w14:paraId="23691601">
      <w:pPr>
        <w:spacing w:line="580" w:lineRule="exact"/>
        <w:ind w:firstLine="643" w:firstLineChars="200"/>
        <w:rPr>
          <w:rFonts w:hint="default" w:ascii="仿宋_GB2312" w:hAnsi="宋体" w:eastAsia="仿宋_GB2312" w:cs="仿宋_GB2312"/>
          <w:sz w:val="32"/>
          <w:szCs w:val="32"/>
          <w:lang w:val="en-US" w:eastAsia="zh-CN"/>
        </w:rPr>
      </w:pPr>
      <w:r>
        <w:rPr>
          <w:rFonts w:hint="eastAsia" w:ascii="楷体_GB2312" w:eastAsia="楷体_GB2312" w:cs="宋体"/>
          <w:b/>
          <w:bCs/>
          <w:kern w:val="0"/>
          <w:sz w:val="32"/>
          <w:szCs w:val="32"/>
        </w:rPr>
        <w:t>（二）</w:t>
      </w:r>
      <w:r>
        <w:rPr>
          <w:rFonts w:hint="eastAsia" w:ascii="楷体_GB2312" w:eastAsia="楷体_GB2312" w:cs="宋体"/>
          <w:b/>
          <w:bCs/>
          <w:kern w:val="0"/>
          <w:sz w:val="32"/>
          <w:szCs w:val="32"/>
          <w:lang w:val="en-US" w:eastAsia="zh-CN"/>
        </w:rPr>
        <w:t>提升培育质效</w:t>
      </w:r>
      <w:r>
        <w:rPr>
          <w:rFonts w:hint="eastAsia" w:ascii="楷体_GB2312" w:eastAsia="楷体_GB2312" w:cs="宋体"/>
          <w:b/>
          <w:bCs/>
          <w:kern w:val="0"/>
          <w:sz w:val="32"/>
          <w:szCs w:val="32"/>
        </w:rPr>
        <w:t>。</w:t>
      </w:r>
      <w:r>
        <w:rPr>
          <w:rFonts w:hint="eastAsia" w:ascii="仿宋_GB2312" w:hAnsi="宋体" w:eastAsia="仿宋_GB2312" w:cs="仿宋_GB2312"/>
          <w:sz w:val="32"/>
          <w:szCs w:val="32"/>
        </w:rPr>
        <w:t>区农业农村局</w:t>
      </w:r>
      <w:r>
        <w:rPr>
          <w:rFonts w:hint="eastAsia" w:ascii="仿宋_GB2312" w:hAnsi="宋体" w:eastAsia="仿宋_GB2312" w:cs="仿宋_GB2312"/>
          <w:sz w:val="32"/>
          <w:szCs w:val="32"/>
          <w:lang w:val="en-US" w:eastAsia="zh-CN"/>
        </w:rPr>
        <w:t>通过公开招标方式遴选培育实施机构。结合农民实际需求，精准设计培训课程，推动习近平新时代中国特色社</w:t>
      </w:r>
      <w:bookmarkStart w:id="0" w:name="_GoBack"/>
      <w:bookmarkEnd w:id="0"/>
      <w:r>
        <w:rPr>
          <w:rFonts w:hint="eastAsia" w:ascii="仿宋_GB2312" w:hAnsi="宋体" w:eastAsia="仿宋_GB2312" w:cs="仿宋_GB2312"/>
          <w:sz w:val="32"/>
          <w:szCs w:val="32"/>
          <w:lang w:val="en-US" w:eastAsia="zh-CN"/>
        </w:rPr>
        <w:t>会主义思想覆盖所有高素质农民培训班。因地制宜创新培训方式，规范教材、师资、实训观摩场所选取，积极吸纳农技推广专家、科研院校骨干教师组建理论授课师资队伍，选聘本地“田秀才”“土专家”、种养能手、产业带头人充实实践教学力量。强化到生产一线开展实操训练，扎实做好实践教学。严把教材选用审核关口，选用规范优质教材。</w:t>
      </w:r>
    </w:p>
    <w:p w14:paraId="024B0659">
      <w:pPr>
        <w:spacing w:line="580" w:lineRule="exact"/>
        <w:ind w:firstLine="643" w:firstLineChars="200"/>
        <w:rPr>
          <w:rFonts w:hint="default" w:ascii="仿宋_GB2312" w:eastAsia="仿宋_GB2312" w:cs="宋体"/>
          <w:kern w:val="0"/>
          <w:sz w:val="32"/>
          <w:szCs w:val="32"/>
          <w:lang w:val="en-US" w:eastAsia="zh-CN"/>
        </w:rPr>
      </w:pPr>
      <w:r>
        <w:rPr>
          <w:rFonts w:hint="eastAsia" w:ascii="楷体_GB2312" w:eastAsia="楷体_GB2312" w:cs="楷体_GB2312"/>
          <w:b/>
          <w:sz w:val="32"/>
          <w:szCs w:val="32"/>
        </w:rPr>
        <w:t>（三）</w:t>
      </w:r>
      <w:r>
        <w:rPr>
          <w:rFonts w:hint="eastAsia" w:ascii="楷体_GB2312" w:eastAsia="楷体_GB2312" w:cs="楷体_GB2312"/>
          <w:b/>
          <w:sz w:val="32"/>
          <w:szCs w:val="32"/>
          <w:lang w:val="en-US" w:eastAsia="zh-CN"/>
        </w:rPr>
        <w:t>强化过程管理</w:t>
      </w:r>
      <w:r>
        <w:rPr>
          <w:rFonts w:hint="eastAsia" w:ascii="楷体_GB2312" w:hAnsi="华文楷体" w:eastAsia="楷体_GB2312" w:cs="楷体_GB2312"/>
          <w:b/>
          <w:bCs/>
          <w:sz w:val="32"/>
          <w:szCs w:val="32"/>
        </w:rPr>
        <w:t>。</w:t>
      </w:r>
      <w:r>
        <w:rPr>
          <w:rFonts w:hint="eastAsia" w:ascii="仿宋_GB2312" w:hAnsi="宋体" w:eastAsia="仿宋_GB2312" w:cs="仿宋_GB2312"/>
          <w:sz w:val="32"/>
          <w:szCs w:val="32"/>
          <w:lang w:val="en-US" w:eastAsia="zh-CN"/>
        </w:rPr>
        <w:t>严格审核培训班开班计划、培训方案和培训对象，按要求签订项目合同服务协议。依托农民教育培训信息管理系统盯紧课程、学时、师资、学员等信息常态化日常监管。</w:t>
      </w:r>
    </w:p>
    <w:p w14:paraId="593585F7">
      <w:pPr>
        <w:widowControl/>
        <w:spacing w:line="580" w:lineRule="exact"/>
        <w:ind w:firstLine="643" w:firstLineChars="200"/>
        <w:rPr>
          <w:rFonts w:hint="default" w:ascii="仿宋_GB2312" w:eastAsia="仿宋_GB2312" w:cs="宋体"/>
          <w:kern w:val="0"/>
          <w:sz w:val="32"/>
          <w:szCs w:val="32"/>
          <w:lang w:val="en-US"/>
        </w:rPr>
      </w:pPr>
      <w:r>
        <w:rPr>
          <w:rFonts w:hint="eastAsia" w:ascii="楷体_GB2312" w:eastAsia="楷体_GB2312" w:cs="宋体"/>
          <w:b/>
          <w:bCs/>
          <w:kern w:val="0"/>
          <w:sz w:val="32"/>
          <w:szCs w:val="32"/>
        </w:rPr>
        <w:t>（</w:t>
      </w:r>
      <w:r>
        <w:rPr>
          <w:rFonts w:hint="eastAsia" w:ascii="楷体_GB2312" w:eastAsia="楷体_GB2312" w:cs="宋体"/>
          <w:b/>
          <w:bCs/>
          <w:kern w:val="0"/>
          <w:sz w:val="32"/>
          <w:szCs w:val="32"/>
          <w:lang w:val="en-US" w:eastAsia="zh-CN"/>
        </w:rPr>
        <w:t>四</w:t>
      </w:r>
      <w:r>
        <w:rPr>
          <w:rFonts w:hint="eastAsia" w:ascii="楷体_GB2312" w:eastAsia="楷体_GB2312" w:cs="宋体"/>
          <w:b/>
          <w:bCs/>
          <w:kern w:val="0"/>
          <w:sz w:val="32"/>
          <w:szCs w:val="32"/>
        </w:rPr>
        <w:t>）</w:t>
      </w:r>
      <w:r>
        <w:rPr>
          <w:rFonts w:hint="eastAsia" w:ascii="楷体_GB2312" w:eastAsia="楷体_GB2312" w:cs="宋体"/>
          <w:b/>
          <w:bCs/>
          <w:kern w:val="0"/>
          <w:sz w:val="32"/>
          <w:szCs w:val="32"/>
          <w:lang w:val="en-US" w:eastAsia="zh-CN"/>
        </w:rPr>
        <w:t>做好跟踪总结</w:t>
      </w:r>
      <w:r>
        <w:rPr>
          <w:rFonts w:hint="eastAsia" w:ascii="楷体_GB2312" w:eastAsia="楷体_GB2312" w:cs="宋体"/>
          <w:b/>
          <w:bCs/>
          <w:kern w:val="0"/>
          <w:sz w:val="32"/>
          <w:szCs w:val="32"/>
        </w:rPr>
        <w:t>。</w:t>
      </w:r>
      <w:r>
        <w:rPr>
          <w:rFonts w:hint="eastAsia" w:ascii="仿宋_GB2312" w:eastAsia="仿宋_GB2312" w:cs="宋体"/>
          <w:kern w:val="0"/>
          <w:sz w:val="32"/>
          <w:szCs w:val="32"/>
          <w:lang w:val="en-US" w:eastAsia="zh-CN"/>
        </w:rPr>
        <w:t>培育机构培育任务完成后，要持续提供技术指导、政策对接、发展帮扶等跟踪服务不少于2次，跟踪服务人数不少于培训班总人数的30%，并做好跟踪服务记录。要及时总结培育工作中的好经验、好做法，积极与各级主流媒体对接，多渠道开展宣传推广，推动高素质农民培育工作不断取得新成效。</w:t>
      </w:r>
    </w:p>
    <w:p w14:paraId="36517840">
      <w:pPr>
        <w:widowControl/>
        <w:spacing w:line="580" w:lineRule="exact"/>
        <w:ind w:firstLine="640" w:firstLineChars="200"/>
        <w:rPr>
          <w:rFonts w:ascii="仿宋_GB2312" w:eastAsia="仿宋_GB2312" w:cs="宋体"/>
          <w:kern w:val="0"/>
          <w:sz w:val="32"/>
          <w:szCs w:val="32"/>
        </w:rPr>
      </w:pPr>
    </w:p>
    <w:p w14:paraId="591E1C41">
      <w:pPr>
        <w:ind w:firstLine="640" w:firstLineChars="200"/>
        <w:rPr>
          <w:rFonts w:ascii="仿宋_GB2312" w:eastAsia="仿宋_GB2312" w:cs="Times New Roman"/>
          <w:sz w:val="32"/>
          <w:szCs w:val="32"/>
        </w:rPr>
      </w:pPr>
    </w:p>
    <w:p w14:paraId="254AF185">
      <w:pPr>
        <w:ind w:firstLine="640" w:firstLineChars="200"/>
        <w:rPr>
          <w:rFonts w:ascii="仿宋_GB2312" w:eastAsia="仿宋_GB2312" w:cs="Times New Roman"/>
          <w:sz w:val="32"/>
          <w:szCs w:val="32"/>
        </w:rPr>
      </w:pPr>
    </w:p>
    <w:p w14:paraId="10402870">
      <w:pPr>
        <w:rPr>
          <w:rFonts w:ascii="仿宋_GB2312" w:eastAsia="仿宋_GB2312" w:cs="Times New Roman"/>
          <w:sz w:val="32"/>
          <w:szCs w:val="32"/>
        </w:rPr>
      </w:pPr>
    </w:p>
    <w:p w14:paraId="1A1DDF5C">
      <w:pPr>
        <w:rPr>
          <w:rFonts w:ascii="仿宋_GB2312" w:eastAsia="仿宋_GB2312" w:cs="Times New Roman"/>
          <w:sz w:val="32"/>
          <w:szCs w:val="32"/>
        </w:rPr>
      </w:pPr>
    </w:p>
    <w:p w14:paraId="556EA8FE">
      <w:pPr>
        <w:rPr>
          <w:rFonts w:ascii="仿宋_GB2312" w:eastAsia="仿宋_GB2312" w:cs="Times New Roman"/>
          <w:sz w:val="32"/>
          <w:szCs w:val="32"/>
        </w:rPr>
      </w:pPr>
    </w:p>
    <w:p w14:paraId="652E0D8A">
      <w:pPr>
        <w:rPr>
          <w:rFonts w:ascii="仿宋_GB2312" w:eastAsia="仿宋_GB2312" w:cs="Times New Roman"/>
          <w:sz w:val="32"/>
          <w:szCs w:val="32"/>
        </w:rPr>
      </w:pPr>
    </w:p>
    <w:p w14:paraId="6AD7FF2C">
      <w:pPr>
        <w:rPr>
          <w:rFonts w:ascii="仿宋_GB2312" w:eastAsia="仿宋_GB2312" w:cs="Times New Roman"/>
          <w:sz w:val="32"/>
          <w:szCs w:val="32"/>
        </w:rPr>
      </w:pPr>
    </w:p>
    <w:p w14:paraId="5AEC513C">
      <w:pPr>
        <w:widowControl/>
        <w:spacing w:line="580" w:lineRule="exact"/>
        <w:rPr>
          <w:rFonts w:ascii="仿宋_GB2312" w:eastAsia="仿宋_GB2312" w:cs="宋体"/>
          <w:kern w:val="0"/>
          <w:sz w:val="32"/>
          <w:szCs w:val="32"/>
        </w:rPr>
      </w:pPr>
      <w:r>
        <w:rPr>
          <w:rFonts w:hint="eastAsia" w:ascii="仿宋_GB2312" w:eastAsia="仿宋_GB2312" w:cs="宋体"/>
          <w:kern w:val="0"/>
          <w:sz w:val="32"/>
          <w:szCs w:val="32"/>
        </w:rPr>
        <w:t>附表：</w:t>
      </w:r>
    </w:p>
    <w:p w14:paraId="6483B117">
      <w:pPr>
        <w:widowControl/>
        <w:spacing w:line="580" w:lineRule="exact"/>
        <w:jc w:val="center"/>
        <w:rPr>
          <w:rFonts w:hint="eastAsia" w:ascii="方正小标宋简体" w:eastAsia="方正小标宋简体" w:cs="宋体"/>
          <w:kern w:val="0"/>
          <w:sz w:val="36"/>
          <w:szCs w:val="36"/>
        </w:rPr>
      </w:pPr>
      <w:r>
        <w:rPr>
          <w:rFonts w:hint="eastAsia" w:ascii="方正小标宋简体" w:eastAsia="方正小标宋简体" w:cs="宋体"/>
          <w:kern w:val="0"/>
          <w:sz w:val="36"/>
          <w:szCs w:val="36"/>
        </w:rPr>
        <w:t>三元区202</w:t>
      </w:r>
      <w:r>
        <w:rPr>
          <w:rFonts w:hint="eastAsia" w:ascii="方正小标宋简体" w:eastAsia="方正小标宋简体" w:cs="宋体"/>
          <w:kern w:val="0"/>
          <w:sz w:val="36"/>
          <w:szCs w:val="36"/>
          <w:lang w:val="en-US" w:eastAsia="zh-CN"/>
        </w:rPr>
        <w:t>6</w:t>
      </w:r>
      <w:r>
        <w:rPr>
          <w:rFonts w:hint="eastAsia" w:ascii="方正小标宋简体" w:eastAsia="方正小标宋简体" w:cs="宋体"/>
          <w:kern w:val="0"/>
          <w:sz w:val="36"/>
          <w:szCs w:val="36"/>
        </w:rPr>
        <w:t>年高素质农民培训（</w:t>
      </w:r>
      <w:r>
        <w:rPr>
          <w:rFonts w:hint="eastAsia" w:ascii="方正小标宋简体" w:eastAsia="方正小标宋简体" w:cs="宋体"/>
          <w:kern w:val="0"/>
          <w:sz w:val="36"/>
          <w:szCs w:val="36"/>
          <w:lang w:val="en-US" w:eastAsia="zh-CN"/>
        </w:rPr>
        <w:t>中央</w:t>
      </w:r>
      <w:r>
        <w:rPr>
          <w:rFonts w:hint="eastAsia" w:ascii="方正小标宋简体" w:eastAsia="方正小标宋简体" w:cs="宋体"/>
          <w:kern w:val="0"/>
          <w:sz w:val="36"/>
          <w:szCs w:val="36"/>
        </w:rPr>
        <w:t>资金）计划安排表</w:t>
      </w:r>
    </w:p>
    <w:p w14:paraId="15B61099">
      <w:pPr>
        <w:widowControl/>
        <w:spacing w:line="580" w:lineRule="exact"/>
        <w:jc w:val="center"/>
        <w:rPr>
          <w:rFonts w:hint="eastAsia" w:ascii="方正小标宋简体" w:eastAsia="方正小标宋简体" w:cs="宋体"/>
          <w:kern w:val="0"/>
          <w:sz w:val="36"/>
          <w:szCs w:val="36"/>
        </w:rPr>
      </w:pPr>
    </w:p>
    <w:tbl>
      <w:tblPr>
        <w:tblStyle w:val="4"/>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5"/>
        <w:gridCol w:w="1631"/>
        <w:gridCol w:w="1537"/>
        <w:gridCol w:w="2213"/>
        <w:gridCol w:w="1519"/>
      </w:tblGrid>
      <w:tr w14:paraId="7F5C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vAlign w:val="center"/>
          </w:tcPr>
          <w:p w14:paraId="6E7A2DF9">
            <w:pPr>
              <w:widowControl/>
              <w:spacing w:line="580" w:lineRule="exact"/>
              <w:jc w:val="center"/>
              <w:rPr>
                <w:rFonts w:ascii="仿宋_GB2312" w:eastAsia="仿宋_GB2312" w:cs="宋体"/>
                <w:b/>
                <w:kern w:val="0"/>
                <w:sz w:val="32"/>
                <w:szCs w:val="32"/>
              </w:rPr>
            </w:pPr>
            <w:r>
              <w:rPr>
                <w:rFonts w:hint="eastAsia" w:ascii="仿宋_GB2312" w:eastAsia="仿宋_GB2312" w:cs="宋体"/>
                <w:b/>
                <w:kern w:val="0"/>
                <w:sz w:val="32"/>
                <w:szCs w:val="32"/>
              </w:rPr>
              <w:t>培训类型</w:t>
            </w:r>
          </w:p>
        </w:tc>
        <w:tc>
          <w:tcPr>
            <w:tcW w:w="1631" w:type="dxa"/>
            <w:shd w:val="clear" w:color="auto" w:fill="auto"/>
            <w:vAlign w:val="center"/>
          </w:tcPr>
          <w:p w14:paraId="3C4390B0">
            <w:pPr>
              <w:widowControl/>
              <w:spacing w:line="580" w:lineRule="exact"/>
              <w:jc w:val="center"/>
              <w:rPr>
                <w:rFonts w:hint="default" w:ascii="仿宋_GB2312" w:eastAsia="仿宋_GB2312" w:cs="宋体"/>
                <w:b/>
                <w:kern w:val="0"/>
                <w:sz w:val="32"/>
                <w:szCs w:val="32"/>
                <w:lang w:val="en-US" w:eastAsia="zh-CN"/>
              </w:rPr>
            </w:pPr>
            <w:r>
              <w:rPr>
                <w:rFonts w:hint="eastAsia" w:ascii="仿宋_GB2312" w:eastAsia="仿宋_GB2312" w:cs="宋体"/>
                <w:b/>
                <w:kern w:val="0"/>
                <w:sz w:val="32"/>
                <w:szCs w:val="32"/>
                <w:lang w:val="en-US" w:eastAsia="zh-CN"/>
              </w:rPr>
              <w:t>培训人数</w:t>
            </w:r>
          </w:p>
        </w:tc>
        <w:tc>
          <w:tcPr>
            <w:tcW w:w="1537" w:type="dxa"/>
            <w:vAlign w:val="center"/>
          </w:tcPr>
          <w:p w14:paraId="77FCE4A1">
            <w:pPr>
              <w:widowControl/>
              <w:spacing w:line="580" w:lineRule="exact"/>
              <w:jc w:val="center"/>
              <w:rPr>
                <w:rFonts w:ascii="仿宋_GB2312" w:eastAsia="仿宋_GB2312" w:cs="宋体"/>
                <w:b/>
                <w:kern w:val="0"/>
                <w:sz w:val="32"/>
                <w:szCs w:val="32"/>
              </w:rPr>
            </w:pPr>
            <w:r>
              <w:rPr>
                <w:rFonts w:hint="eastAsia" w:ascii="仿宋_GB2312" w:eastAsia="仿宋_GB2312" w:cs="宋体"/>
                <w:b/>
                <w:kern w:val="0"/>
                <w:sz w:val="32"/>
                <w:szCs w:val="32"/>
              </w:rPr>
              <w:t>培训天数</w:t>
            </w:r>
          </w:p>
        </w:tc>
        <w:tc>
          <w:tcPr>
            <w:tcW w:w="2213" w:type="dxa"/>
          </w:tcPr>
          <w:p w14:paraId="68B4D2CA">
            <w:pPr>
              <w:widowControl/>
              <w:spacing w:line="580" w:lineRule="exact"/>
              <w:jc w:val="center"/>
              <w:rPr>
                <w:rFonts w:ascii="仿宋_GB2312" w:eastAsia="仿宋_GB2312" w:cs="宋体"/>
                <w:b/>
                <w:kern w:val="0"/>
                <w:sz w:val="32"/>
                <w:szCs w:val="32"/>
              </w:rPr>
            </w:pPr>
            <w:r>
              <w:rPr>
                <w:rFonts w:hint="eastAsia" w:ascii="仿宋_GB2312" w:eastAsia="仿宋_GB2312" w:cs="宋体"/>
                <w:b/>
                <w:kern w:val="0"/>
                <w:sz w:val="32"/>
                <w:szCs w:val="32"/>
              </w:rPr>
              <w:t>补助标准</w:t>
            </w:r>
          </w:p>
          <w:p w14:paraId="0C0D3475">
            <w:pPr>
              <w:widowControl/>
              <w:spacing w:line="580" w:lineRule="exact"/>
              <w:jc w:val="center"/>
              <w:rPr>
                <w:rFonts w:ascii="仿宋_GB2312" w:eastAsia="仿宋_GB2312" w:cs="宋体"/>
                <w:b/>
                <w:kern w:val="0"/>
                <w:sz w:val="32"/>
                <w:szCs w:val="32"/>
              </w:rPr>
            </w:pPr>
            <w:r>
              <w:rPr>
                <w:rFonts w:hint="eastAsia" w:ascii="仿宋_GB2312" w:eastAsia="仿宋_GB2312" w:cs="宋体"/>
                <w:b/>
                <w:kern w:val="0"/>
                <w:sz w:val="32"/>
                <w:szCs w:val="32"/>
              </w:rPr>
              <w:t>（人/天/元）</w:t>
            </w:r>
          </w:p>
        </w:tc>
        <w:tc>
          <w:tcPr>
            <w:tcW w:w="1519" w:type="dxa"/>
            <w:vAlign w:val="center"/>
          </w:tcPr>
          <w:p w14:paraId="16716958">
            <w:pPr>
              <w:widowControl/>
              <w:spacing w:line="580" w:lineRule="exact"/>
              <w:jc w:val="center"/>
              <w:rPr>
                <w:rFonts w:ascii="仿宋_GB2312" w:eastAsia="仿宋_GB2312" w:cs="宋体"/>
                <w:b/>
                <w:kern w:val="0"/>
                <w:sz w:val="32"/>
                <w:szCs w:val="32"/>
              </w:rPr>
            </w:pPr>
            <w:r>
              <w:rPr>
                <w:rFonts w:hint="eastAsia" w:ascii="仿宋_GB2312" w:eastAsia="仿宋_GB2312" w:cs="宋体"/>
                <w:b/>
                <w:kern w:val="0"/>
                <w:sz w:val="32"/>
                <w:szCs w:val="32"/>
              </w:rPr>
              <w:t>资金安排</w:t>
            </w:r>
          </w:p>
          <w:p w14:paraId="0908034D">
            <w:pPr>
              <w:widowControl/>
              <w:spacing w:line="580" w:lineRule="exact"/>
              <w:jc w:val="center"/>
              <w:rPr>
                <w:rFonts w:ascii="仿宋_GB2312" w:eastAsia="仿宋_GB2312" w:cs="宋体"/>
                <w:b/>
                <w:kern w:val="0"/>
                <w:sz w:val="32"/>
                <w:szCs w:val="32"/>
              </w:rPr>
            </w:pPr>
            <w:r>
              <w:rPr>
                <w:rFonts w:hint="eastAsia" w:ascii="仿宋_GB2312" w:eastAsia="仿宋_GB2312" w:cs="宋体"/>
                <w:b/>
                <w:kern w:val="0"/>
                <w:sz w:val="32"/>
                <w:szCs w:val="32"/>
              </w:rPr>
              <w:t>（万元）</w:t>
            </w:r>
          </w:p>
        </w:tc>
      </w:tr>
      <w:tr w14:paraId="40C3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2065" w:type="dxa"/>
            <w:vAlign w:val="center"/>
          </w:tcPr>
          <w:p w14:paraId="019019F2">
            <w:pPr>
              <w:widowControl/>
              <w:spacing w:line="580" w:lineRule="exact"/>
              <w:jc w:val="center"/>
              <w:rPr>
                <w:rFonts w:hint="default" w:ascii="仿宋_GB2312" w:eastAsia="仿宋_GB2312" w:cs="宋体"/>
                <w:kern w:val="0"/>
                <w:sz w:val="32"/>
                <w:szCs w:val="32"/>
                <w:lang w:val="en-US" w:eastAsia="zh-CN"/>
              </w:rPr>
            </w:pPr>
            <w:r>
              <w:rPr>
                <w:rFonts w:hint="eastAsia" w:ascii="仿宋_GB2312" w:hAnsi="Batang" w:eastAsia="仿宋_GB2312" w:cs="仿宋_GB2312"/>
                <w:sz w:val="32"/>
                <w:szCs w:val="32"/>
                <w:lang w:val="en-US" w:eastAsia="zh-CN"/>
              </w:rPr>
              <w:t>联合收割机驾驶技能专题培训班</w:t>
            </w:r>
          </w:p>
        </w:tc>
        <w:tc>
          <w:tcPr>
            <w:tcW w:w="1631" w:type="dxa"/>
            <w:shd w:val="clear" w:color="auto" w:fill="auto"/>
            <w:vAlign w:val="center"/>
          </w:tcPr>
          <w:p w14:paraId="6B657E4C">
            <w:pPr>
              <w:widowControl/>
              <w:spacing w:line="580" w:lineRule="exact"/>
              <w:jc w:val="center"/>
              <w:rPr>
                <w:rFonts w:hint="default"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50</w:t>
            </w:r>
          </w:p>
        </w:tc>
        <w:tc>
          <w:tcPr>
            <w:tcW w:w="1537" w:type="dxa"/>
            <w:vAlign w:val="center"/>
          </w:tcPr>
          <w:p w14:paraId="3E53CFA6">
            <w:pPr>
              <w:widowControl/>
              <w:spacing w:line="580" w:lineRule="exact"/>
              <w:jc w:val="center"/>
              <w:rPr>
                <w:rFonts w:hint="default"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8</w:t>
            </w:r>
          </w:p>
        </w:tc>
        <w:tc>
          <w:tcPr>
            <w:tcW w:w="2213" w:type="dxa"/>
            <w:vAlign w:val="center"/>
          </w:tcPr>
          <w:p w14:paraId="31382AE9">
            <w:pPr>
              <w:widowControl/>
              <w:spacing w:line="580" w:lineRule="exact"/>
              <w:jc w:val="center"/>
              <w:rPr>
                <w:rFonts w:hint="default"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425</w:t>
            </w:r>
          </w:p>
        </w:tc>
        <w:tc>
          <w:tcPr>
            <w:tcW w:w="1519" w:type="dxa"/>
            <w:vAlign w:val="center"/>
          </w:tcPr>
          <w:p w14:paraId="3FB153F0">
            <w:pPr>
              <w:widowControl/>
              <w:spacing w:line="580" w:lineRule="exact"/>
              <w:jc w:val="center"/>
              <w:rPr>
                <w:rFonts w:hint="default"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17</w:t>
            </w:r>
          </w:p>
        </w:tc>
      </w:tr>
    </w:tbl>
    <w:p w14:paraId="729B5D4E">
      <w:pPr>
        <w:rPr>
          <w:rFonts w:ascii="仿宋_GB2312" w:eastAsia="仿宋_GB2312" w:cs="Times New Roman"/>
          <w:sz w:val="32"/>
          <w:szCs w:val="32"/>
        </w:rPr>
      </w:pPr>
    </w:p>
    <w:p w14:paraId="626DB717"/>
    <w:sectPr>
      <w:headerReference r:id="rId5" w:type="default"/>
      <w:footerReference r:id="rId6" w:type="default"/>
      <w:pgSz w:w="11906" w:h="16838"/>
      <w:pgMar w:top="2098" w:right="1531" w:bottom="1984" w:left="1531"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503050405020304"/>
    <w:charset w:val="00"/>
    <w:family w:val="auto"/>
    <w:pitch w:val="default"/>
    <w:sig w:usb0="00000000" w:usb1="00000000" w:usb2="00000000" w:usb3="00000000" w:csb0="20000003"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Batang">
    <w:altName w:val="Malgun Gothic"/>
    <w:panose1 w:val="02030600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楷体_GB2312">
    <w:panose1 w:val="02010609030101010101"/>
    <w:charset w:val="86"/>
    <w:family w:val="auto"/>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75327">
    <w:pPr>
      <w:pStyle w:val="2"/>
      <w:framePr w:wrap="around" w:vAnchor="text" w:hAnchor="margin" w:xAlign="inside" w:y="1"/>
      <w:rPr>
        <w:rStyle w:val="6"/>
        <w:rFonts w:ascii="宋体" w:hAnsi="宋体" w:cs="宋体"/>
        <w:sz w:val="30"/>
        <w:szCs w:val="30"/>
      </w:rPr>
    </w:pPr>
    <w:r>
      <w:rPr>
        <w:rStyle w:val="6"/>
        <w:rFonts w:ascii="宋体" w:hAnsi="宋体" w:cs="宋体"/>
        <w:sz w:val="30"/>
        <w:szCs w:val="30"/>
      </w:rPr>
      <w:t xml:space="preserve">— </w:t>
    </w:r>
    <w:r>
      <w:rPr>
        <w:rStyle w:val="6"/>
        <w:rFonts w:ascii="宋体" w:hAnsi="宋体" w:cs="宋体"/>
        <w:sz w:val="30"/>
        <w:szCs w:val="30"/>
      </w:rPr>
      <w:fldChar w:fldCharType="begin"/>
    </w:r>
    <w:r>
      <w:rPr>
        <w:rStyle w:val="6"/>
        <w:rFonts w:ascii="宋体" w:hAnsi="宋体" w:cs="宋体"/>
        <w:sz w:val="30"/>
        <w:szCs w:val="30"/>
      </w:rPr>
      <w:instrText xml:space="preserve">PAGE  </w:instrText>
    </w:r>
    <w:r>
      <w:rPr>
        <w:rStyle w:val="6"/>
        <w:rFonts w:ascii="宋体" w:hAnsi="宋体" w:cs="宋体"/>
        <w:sz w:val="30"/>
        <w:szCs w:val="30"/>
      </w:rPr>
      <w:fldChar w:fldCharType="separate"/>
    </w:r>
    <w:r>
      <w:rPr>
        <w:rStyle w:val="6"/>
        <w:rFonts w:ascii="宋体" w:hAnsi="宋体" w:cs="宋体"/>
        <w:sz w:val="30"/>
        <w:szCs w:val="30"/>
      </w:rPr>
      <w:t>3</w:t>
    </w:r>
    <w:r>
      <w:rPr>
        <w:rStyle w:val="6"/>
        <w:rFonts w:ascii="宋体" w:hAnsi="宋体" w:cs="宋体"/>
        <w:sz w:val="30"/>
        <w:szCs w:val="30"/>
      </w:rPr>
      <w:fldChar w:fldCharType="end"/>
    </w:r>
    <w:r>
      <w:rPr>
        <w:rStyle w:val="6"/>
        <w:rFonts w:ascii="宋体" w:hAnsi="宋体" w:cs="宋体"/>
        <w:sz w:val="30"/>
        <w:szCs w:val="30"/>
      </w:rPr>
      <w:t xml:space="preserve"> — </w:t>
    </w:r>
  </w:p>
  <w:p w14:paraId="25976214">
    <w:pPr>
      <w:pStyle w:val="2"/>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BE813">
    <w:pPr>
      <w:pStyle w:val="3"/>
      <w:pBdr>
        <w:bottom w:val="none" w:color="auto" w:sz="0" w:space="0"/>
      </w:pBd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3915C5"/>
    <w:rsid w:val="47FF1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spacing w:line="240" w:lineRule="atLeast"/>
      <w:jc w:val="left"/>
    </w:pPr>
    <w:rPr>
      <w:sz w:val="18"/>
      <w:szCs w:val="18"/>
    </w:rPr>
  </w:style>
  <w:style w:type="paragraph" w:styleId="3">
    <w:name w:val="header"/>
    <w:basedOn w:val="1"/>
    <w:semiHidden/>
    <w:qFormat/>
    <w:uiPriority w:val="99"/>
    <w:pPr>
      <w:pBdr>
        <w:bottom w:val="single" w:color="auto" w:sz="6" w:space="1"/>
      </w:pBdr>
      <w:tabs>
        <w:tab w:val="center" w:pos="4153"/>
        <w:tab w:val="right" w:pos="8306"/>
      </w:tabs>
      <w:snapToGrid w:val="0"/>
      <w:spacing w:line="240" w:lineRule="atLeast"/>
      <w:jc w:val="center"/>
    </w:pPr>
    <w:rPr>
      <w:sz w:val="18"/>
      <w:szCs w:val="18"/>
    </w:rPr>
  </w:style>
  <w:style w:type="character" w:styleId="6">
    <w:name w:val="page number"/>
    <w:basedOn w:val="5"/>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1397</Words>
  <Characters>1452</Characters>
  <Lines>0</Lines>
  <Paragraphs>0</Paragraphs>
  <TotalTime>0</TotalTime>
  <ScaleCrop>false</ScaleCrop>
  <LinksUpToDate>false</LinksUpToDate>
  <CharactersWithSpaces>1455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2026-09-04T01:45:00Z</dcterms:created>
  <dc:creator>fjsmlenovo</dc:creator>
  <cp:lastModifiedBy>ReiKun</cp:lastModifiedBy>
  <dcterms:modified xsi:type="dcterms:W3CDTF">2026-09-04T01:53:26Z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eyJoZGlkIjoiZDlhNmVkOWY4ZjMyZTMwZmRjMGQwMjI3Y2I5Y2QwZmIiLCJ1c2VySWQiOiI3NTM1ODA3ODcifQ==</vt:lpwstr>
  </property>
  <property fmtid="{D5CDD505-2E9C-101B-9397-08002B2CF9AE}" pid="4" name="ICV">
    <vt:lpwstr>D44828E75F0D4A4EB6AE51F2C90894FB_12</vt:lpwstr>
  </property>
</Properties>
</file>