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4C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三元区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畜禽养殖污染防治工作方案</w:t>
      </w:r>
    </w:p>
    <w:p w14:paraId="2C4B876E">
      <w:pPr>
        <w:pStyle w:val="2"/>
        <w:jc w:val="center"/>
        <w:rPr>
          <w:rFonts w:hint="eastAsia" w:ascii="楷体_GB2312" w:hAnsi="楷体_GB2312" w:eastAsia="楷体_GB2312" w:cs="楷体_GB2312"/>
          <w:color w:val="auto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（征求意见稿）</w:t>
      </w:r>
      <w:bookmarkStart w:id="0" w:name="_GoBack"/>
      <w:bookmarkEnd w:id="0"/>
    </w:p>
    <w:p w14:paraId="1BC27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27AD6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为了深入贯彻落实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《畜禽养殖业污染排放与控制标准》（DB352324-2026）有关要求，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依据《三明市人民政府关于研究推进生态环境保护工作的纪要》（〔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42号）精神，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全面推进生猪养殖转型升级，确保三元区全域水质稳定保持Ⅱ类，结合我区实际，特制定本方案。</w:t>
      </w:r>
    </w:p>
    <w:p w14:paraId="4ABC9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一、工作目标</w:t>
      </w:r>
    </w:p>
    <w:p w14:paraId="33045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严格管控生猪养殖总量，落实畜禽标识管理制度，督促养殖企业规范运行污染防治设施，加强生猪屠宰管理，严防养殖粪污污染水体。完善粪污收集、处理、资源化利用设施，坚决取缔违法无序散养行为;逐步推行粪污固液分离、沼液集中处理、废水达标排放治理模式，促进流域水质改善。</w:t>
      </w:r>
    </w:p>
    <w:p w14:paraId="7789E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二、主要任务</w:t>
      </w:r>
    </w:p>
    <w:p w14:paraId="5BD97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（一）优化调控畜禽养殖布局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严格落实“十四五”畜牧业发展规划划定的禁养区、可养区管控要求。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落实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《进一步深化畜禽养殖污染防治十条措施》（闽环发〔2023〕8号）和《三明市畜禽养殖污染防治规划（2023—2025年）》要求，严控生猪养殖总量，管控土地畜禽承载能力，实现养殖发展与生态保护相协调。全面停止禁养区内生猪养殖场的违法生产养殖行为，拒不停止违法行为的，由属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乡镇（街道）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会同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农业农村局、自然资源局、林业局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、水利局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三元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生态环境局等部门依法予以查处，并报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人民政府责令拆除或者关闭。</w:t>
      </w:r>
    </w:p>
    <w:p w14:paraId="2D1389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（二）鼓励引导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规模养殖场废水达标排放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分批次推进养殖场治污设施改造提升。一是试点先行，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鼓励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引导6家龙头养殖企业发挥示范作用，率先实施液体粪污深度处理设施改造，推行粪污固液分离、沼液集中处理、废水达标排放治理，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并配套在线监控设施，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于2026年12月底前完成改造任务。二是分批推进，在试点基础上，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鼓励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引导年存栏5000头以上规模化生猪养殖场配套建设或改造养殖废水治理设施，确保其水污染物排放达到规定的排放限值要求，力争于2027年3月31日前完成达标改造。</w:t>
      </w:r>
    </w:p>
    <w:p w14:paraId="514663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分类推进生猪散养污染整治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一是强化规范化管理，对位于可养区内的畜禽散养户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，由所在乡镇（街道）统一组织对畜禽粪污实行分户收集、集中处理，消除环境污染风险。二是依法分类处置，可养区内存在长期无序排污、拒不整改的散养户，由属地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乡镇（街道）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会同区农业农村局、自然资源局、林业局和三元生态环境局等部门责令停止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养殖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，并依法予以查处。给予合理过渡期，支持其转产转型，涉及相关部门职责权限的，做好衔接配合。</w:t>
      </w:r>
    </w:p>
    <w:p w14:paraId="1D880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三、责任分工</w:t>
      </w:r>
    </w:p>
    <w:p w14:paraId="52FE2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（一）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乡镇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（街道）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作为责任主体，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全面摸排报送属地存在的规下养殖场清单（多年空栏未养的也需报送，并备注），标注养殖场经纬度，明确挂包领导、包村干部、责任人，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9月25日前将表格（附件1）经乡（镇）党政主要领导签字盖章后发送至三元生态环境局、区畜牧兽医站（联系人：马静 联系电话：0598-8395660 邮箱：985839675@qq.com；练玉发 联系电话：0598-8326569 邮箱：at 8318836@126.com），今后若经排查发现名单外的养殖场，立即停止养殖。属地乡镇可报送认为当前可保留或经改造后可保留的养殖场名单，需由所属乡镇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（街道）组织对畜禽粪污进行分户收集、集中处理利用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，再经农业农村部门、生态环境部门和属地乡镇三方联审通过后予以保留。</w:t>
      </w:r>
    </w:p>
    <w:p w14:paraId="0AC23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（二）三元生态环境局负责畜禽养殖污染防治的统一监督管理，指导养殖场（户）污染治理设施建设，开展水质监测和执法监管，依法查处环境违法行为。</w:t>
      </w:r>
    </w:p>
    <w:p w14:paraId="609C4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区农业农村局负责严格管控生猪养殖总量，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落实畜禽标识管理制度，督促养殖企业规范运行污染防治设施，加强生猪屠宰管理，严防养殖粪污污染水体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 w14:paraId="56043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（四）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农业农村、生态环境、河长办和公安部门加强信息共享，互通流域周边畜禽散养户基础台账、日常巡查发现问题、群众污染举报、劝导整改情况、行政执法及涉刑线索，定期开展风险研判，同步掌握规模养殖与散户养殖动态，严格控制养殖规模，强化散养污染源头管控。</w:t>
      </w:r>
    </w:p>
    <w:p w14:paraId="61BA1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（五）区自然资源局、林业局、水利局负责依法查处禁止养殖区域外违法占用农田、林地及河道沿岸的养殖和建设行为，配合做好关停相关工作。</w:t>
      </w:r>
    </w:p>
    <w:p w14:paraId="1C6B9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（六）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三明经济开发区管委会、工业经济服务中心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配合属地乡镇（街道）及区直相关部门，对开发区范围内及周边区域的违法养殖行为进行排查整治，协助做好关停、清栏退养等相关工作，确保园区规划范围内无违规养殖污染问题。</w:t>
      </w:r>
    </w:p>
    <w:p w14:paraId="2C355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四、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工作安排</w:t>
      </w:r>
    </w:p>
    <w:p w14:paraId="5D6BD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（一）摸底排查阶段（2026年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月）</w:t>
      </w:r>
    </w:p>
    <w:p w14:paraId="789EC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各乡镇（街道）对辖区内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（含开发区）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畜禽养殖场（户）进行全面摸底排查，摸清养殖规模、治污设施配套、污染物排放等情况，建立台账，做到底数清、情况明。</w:t>
      </w:r>
    </w:p>
    <w:p w14:paraId="2F2E3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（二）集中整治阶段（2026年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月—2027年3月）</w:t>
      </w:r>
    </w:p>
    <w:p w14:paraId="21832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各乡镇（街道）对照整治任务清单，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分类施策、逐场逐户推进整治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每月核实散养户存栏数量，于2027年1月底完成违法养殖户关停工作，每月25日前将散养户整改落实情况报送至三元生态环境局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三元生态环境局牵头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6家龙头企业提升改造，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力争2027年3月底完成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年出栏5000头以上规模养殖场提升改造。</w:t>
      </w:r>
    </w:p>
    <w:p w14:paraId="593EC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（三）巩固提升阶段（2027年4月起）</w:t>
      </w:r>
    </w:p>
    <w:p w14:paraId="34DFB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建立长效监管机制，常态化开展巡查检查和水质监测，严控养殖场超标养殖，严防不符合养殖条件区域内养殖反弹回潮，巩固整治成效。</w:t>
      </w:r>
    </w:p>
    <w:p w14:paraId="71874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五、保障措施</w:t>
      </w:r>
    </w:p>
    <w:p w14:paraId="427F0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（一）加强组织领导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成立畜禽养殖污染防治工作领导小组，统筹协调推进各项工作。各乡镇（街道）要成立相应工作机构，明确分管领导和具体责任人，确保工作落到实处。</w:t>
      </w:r>
    </w:p>
    <w:p w14:paraId="4D83B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（二）强化资金保障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积极争取上级畜禽养殖污染防治专项资金支持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各乡镇（街道）开展散养户粪污分户收集、集中处理体系建设运行等工作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引导社会资本参与养殖污染治理，探索建立多元化投入机制。</w:t>
      </w:r>
    </w:p>
    <w:p w14:paraId="4DB47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（三）严格监督考核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建立月通报机制，定期通报各乡镇（街道）整治工作进展。将畜禽养殖污染防治工作纳入年度绩效考评体系，对工作推进不力、进度严重滞后的，严肃追究相关责任。考评结果作为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下一年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省级生态流域资金分配参考依据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0D4C3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（四）加大执法力度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常态化开展流域水质和养殖场粪污监测，对超标排放、偷排漏排等违法行为依法从严查处。建立重点养殖场监管台账，实行动态管理。对拒不整改或整改后仍不达标的，予以关停。</w:t>
      </w:r>
    </w:p>
    <w:p w14:paraId="2EED8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（五）营造良好氛围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加强畜禽养殖污染防治法律法规和政策宣传，提高养殖场（户）环保意识和主体责任意识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及时总结推广先进典型和经验做法，曝光违法违规典型案例，形成全社会共同参与、支持畜禽养殖污染防治工作的良好氛围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6E141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：1.三元区规下生猪养殖场（户）调查表</w:t>
      </w:r>
    </w:p>
    <w:p w14:paraId="28C90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2.规下生猪养殖场（户）整改进展情况表</w:t>
      </w:r>
    </w:p>
    <w:p w14:paraId="7142194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/>
          <w:color w:val="auto"/>
          <w:sz w:val="32"/>
          <w:szCs w:val="32"/>
        </w:rPr>
        <w:t>附件</w:t>
      </w:r>
      <w:r>
        <w:rPr>
          <w:rFonts w:hint="eastAsia" w:ascii="黑体" w:eastAsia="黑体"/>
          <w:color w:val="auto"/>
          <w:sz w:val="32"/>
          <w:szCs w:val="32"/>
          <w:lang w:val="en-US" w:eastAsia="zh-CN"/>
        </w:rPr>
        <w:t>1</w:t>
      </w:r>
    </w:p>
    <w:p w14:paraId="24F6931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0795455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黑体"/>
          <w:color w:val="auto"/>
          <w:sz w:val="40"/>
          <w:szCs w:val="40"/>
        </w:rPr>
      </w:pPr>
      <w:r>
        <w:rPr>
          <w:rFonts w:hint="eastAsia" w:ascii="黑体" w:hAnsi="黑体" w:eastAsia="黑体" w:cs="黑体"/>
          <w:color w:val="auto"/>
          <w:sz w:val="40"/>
          <w:szCs w:val="40"/>
          <w:lang w:eastAsia="zh-CN"/>
        </w:rPr>
        <w:t>三元区</w:t>
      </w:r>
      <w:r>
        <w:rPr>
          <w:rFonts w:hint="eastAsia" w:ascii="黑体" w:hAnsi="黑体" w:eastAsia="黑体" w:cs="黑体"/>
          <w:color w:val="auto"/>
          <w:sz w:val="40"/>
          <w:szCs w:val="40"/>
        </w:rPr>
        <w:t>规下</w:t>
      </w:r>
      <w:r>
        <w:rPr>
          <w:rFonts w:hint="eastAsia" w:ascii="黑体" w:hAnsi="黑体" w:eastAsia="黑体" w:cs="黑体"/>
          <w:color w:val="auto"/>
          <w:sz w:val="40"/>
          <w:szCs w:val="40"/>
          <w:lang w:eastAsia="zh-CN"/>
        </w:rPr>
        <w:t>畜禽</w:t>
      </w:r>
      <w:r>
        <w:rPr>
          <w:rFonts w:hint="eastAsia" w:ascii="黑体" w:hAnsi="黑体" w:eastAsia="黑体" w:cs="黑体"/>
          <w:color w:val="auto"/>
          <w:sz w:val="40"/>
          <w:szCs w:val="40"/>
        </w:rPr>
        <w:t>养殖场（户）调查表</w:t>
      </w:r>
    </w:p>
    <w:p w14:paraId="5CCA0A9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sz w:val="40"/>
          <w:szCs w:val="40"/>
        </w:rPr>
      </w:pPr>
    </w:p>
    <w:p w14:paraId="4BBB262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135" w:afterLines="30" w:line="400" w:lineRule="exact"/>
        <w:textAlignment w:val="auto"/>
        <w:rPr>
          <w:rFonts w:hint="eastAsia" w:ascii="仿宋_GB2312" w:hAnsi="Calibri" w:eastAsia="仿宋_GB2312" w:cs="宋体"/>
          <w:color w:val="auto"/>
          <w:sz w:val="28"/>
          <w:szCs w:val="28"/>
        </w:rPr>
      </w:pPr>
      <w:r>
        <w:rPr>
          <w:rFonts w:hint="eastAsia" w:ascii="仿宋_GB2312" w:hAnsi="Calibri" w:eastAsia="仿宋_GB2312" w:cs="宋体"/>
          <w:color w:val="auto"/>
          <w:sz w:val="28"/>
          <w:szCs w:val="28"/>
        </w:rPr>
        <w:t xml:space="preserve">乡（镇）政府（章）：  </w:t>
      </w:r>
      <w:r>
        <w:rPr>
          <w:rFonts w:hint="eastAsia" w:ascii="Times New Roman" w:hAnsi="Times New Roman" w:eastAsia="仿宋_GB2312" w:cs="Times New Roman"/>
          <w:color w:val="auto"/>
          <w:sz w:val="21"/>
          <w:szCs w:val="21"/>
        </w:rPr>
        <w:t xml:space="preserve">                                                                </w:t>
      </w:r>
      <w:r>
        <w:rPr>
          <w:rFonts w:hint="eastAsia" w:ascii="仿宋_GB2312" w:hAnsi="Calibri" w:eastAsia="仿宋_GB2312" w:cs="宋体"/>
          <w:color w:val="auto"/>
          <w:sz w:val="28"/>
          <w:szCs w:val="28"/>
        </w:rPr>
        <w:t xml:space="preserve"> 填报时间：    年   月   日</w:t>
      </w:r>
    </w:p>
    <w:tbl>
      <w:tblPr>
        <w:tblStyle w:val="18"/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427"/>
        <w:gridCol w:w="799"/>
        <w:gridCol w:w="1445"/>
        <w:gridCol w:w="685"/>
        <w:gridCol w:w="1027"/>
        <w:gridCol w:w="987"/>
        <w:gridCol w:w="936"/>
        <w:gridCol w:w="1319"/>
        <w:gridCol w:w="1319"/>
        <w:gridCol w:w="1667"/>
        <w:gridCol w:w="799"/>
        <w:gridCol w:w="799"/>
        <w:gridCol w:w="571"/>
      </w:tblGrid>
      <w:tr w14:paraId="11674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 w14:paraId="2B758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Calibri" w:cs="宋体"/>
                <w:color w:val="auto"/>
                <w:sz w:val="24"/>
                <w:lang w:val="en-US" w:eastAsia="zh-CN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 w14:paraId="17B9D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</w:rPr>
              <w:t>养殖场名称/业主姓名</w:t>
            </w:r>
          </w:p>
        </w:tc>
        <w:tc>
          <w:tcPr>
            <w:tcW w:w="0" w:type="auto"/>
            <w:noWrap w:val="0"/>
            <w:vAlign w:val="center"/>
          </w:tcPr>
          <w:p w14:paraId="6C0B3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Calibri" w:eastAsia="仿宋_GB2312" w:cs="宋体"/>
                <w:color w:val="auto"/>
                <w:sz w:val="24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</w:rPr>
              <w:t>联系电话</w:t>
            </w:r>
          </w:p>
        </w:tc>
        <w:tc>
          <w:tcPr>
            <w:tcW w:w="0" w:type="auto"/>
            <w:noWrap w:val="0"/>
            <w:vAlign w:val="center"/>
          </w:tcPr>
          <w:p w14:paraId="00262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Calibri" w:eastAsia="仿宋_GB2312" w:cs="宋体"/>
                <w:color w:val="auto"/>
                <w:sz w:val="24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</w:rPr>
              <w:t>养殖地点(村、组)</w:t>
            </w:r>
          </w:p>
        </w:tc>
        <w:tc>
          <w:tcPr>
            <w:tcW w:w="0" w:type="auto"/>
            <w:noWrap w:val="0"/>
            <w:vAlign w:val="center"/>
          </w:tcPr>
          <w:p w14:paraId="020C5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Calibri" w:cs="宋体"/>
                <w:color w:val="auto"/>
                <w:sz w:val="24"/>
                <w:lang w:val="en-US" w:eastAsia="zh-CN"/>
              </w:rPr>
              <w:t>经纬度</w:t>
            </w:r>
          </w:p>
        </w:tc>
        <w:tc>
          <w:tcPr>
            <w:tcW w:w="0" w:type="auto"/>
            <w:noWrap w:val="0"/>
            <w:vAlign w:val="center"/>
          </w:tcPr>
          <w:p w14:paraId="51BBE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Calibri" w:eastAsia="仿宋_GB2312" w:cs="宋体"/>
                <w:color w:val="auto"/>
                <w:sz w:val="24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</w:rPr>
              <w:t>用地审批情况</w:t>
            </w:r>
          </w:p>
        </w:tc>
        <w:tc>
          <w:tcPr>
            <w:tcW w:w="0" w:type="auto"/>
            <w:noWrap w:val="0"/>
            <w:vAlign w:val="center"/>
          </w:tcPr>
          <w:p w14:paraId="39D5E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Calibri" w:eastAsia="仿宋_GB2312" w:cs="宋体"/>
                <w:color w:val="auto"/>
                <w:sz w:val="24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</w:rPr>
              <w:t>建设时间</w:t>
            </w:r>
          </w:p>
          <w:p w14:paraId="4C73B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Calibri" w:eastAsia="仿宋_GB2312" w:cs="宋体"/>
                <w:color w:val="auto"/>
                <w:sz w:val="24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</w:rPr>
              <w:t>(年、月)</w:t>
            </w:r>
          </w:p>
        </w:tc>
        <w:tc>
          <w:tcPr>
            <w:tcW w:w="0" w:type="auto"/>
            <w:noWrap w:val="0"/>
            <w:vAlign w:val="center"/>
          </w:tcPr>
          <w:p w14:paraId="6F089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  <w:t>存栏数</w:t>
            </w:r>
            <w:r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  <w:t>（头）</w:t>
            </w:r>
          </w:p>
        </w:tc>
        <w:tc>
          <w:tcPr>
            <w:tcW w:w="0" w:type="auto"/>
            <w:noWrap w:val="0"/>
            <w:vAlign w:val="center"/>
          </w:tcPr>
          <w:p w14:paraId="7809E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Calibri" w:eastAsia="仿宋_GB2312" w:cs="宋体"/>
                <w:color w:val="auto"/>
                <w:sz w:val="24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</w:rPr>
              <w:t>栏舍面积(平方米)</w:t>
            </w:r>
          </w:p>
        </w:tc>
        <w:tc>
          <w:tcPr>
            <w:tcW w:w="0" w:type="auto"/>
            <w:noWrap w:val="0"/>
            <w:vAlign w:val="top"/>
          </w:tcPr>
          <w:p w14:paraId="3252C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Calibri" w:eastAsia="仿宋_GB2312" w:cs="宋体"/>
                <w:color w:val="auto"/>
                <w:sz w:val="24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</w:rPr>
              <w:t>建设类别</w:t>
            </w:r>
          </w:p>
          <w:p w14:paraId="2D479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Calibri" w:eastAsia="仿宋_GB2312" w:cs="宋体"/>
                <w:color w:val="auto"/>
                <w:sz w:val="24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</w:rPr>
              <w:t>(简易/砖木/砖混)</w:t>
            </w:r>
          </w:p>
        </w:tc>
        <w:tc>
          <w:tcPr>
            <w:tcW w:w="0" w:type="auto"/>
            <w:noWrap w:val="0"/>
            <w:vAlign w:val="center"/>
          </w:tcPr>
          <w:p w14:paraId="14004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Calibri" w:cs="宋体"/>
                <w:color w:val="auto"/>
                <w:sz w:val="24"/>
                <w:lang w:val="en-US" w:eastAsia="zh-CN"/>
              </w:rPr>
              <w:t>处置方式（停养/改造）</w:t>
            </w:r>
          </w:p>
        </w:tc>
        <w:tc>
          <w:tcPr>
            <w:tcW w:w="0" w:type="auto"/>
            <w:noWrap w:val="0"/>
            <w:vAlign w:val="center"/>
          </w:tcPr>
          <w:p w14:paraId="6B49D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  <w:t>挂村领导</w:t>
            </w:r>
          </w:p>
        </w:tc>
        <w:tc>
          <w:tcPr>
            <w:tcW w:w="0" w:type="auto"/>
            <w:noWrap w:val="0"/>
            <w:vAlign w:val="center"/>
          </w:tcPr>
          <w:p w14:paraId="7F74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  <w:t>包村干部</w:t>
            </w:r>
          </w:p>
        </w:tc>
        <w:tc>
          <w:tcPr>
            <w:tcW w:w="0" w:type="auto"/>
            <w:noWrap w:val="0"/>
            <w:vAlign w:val="center"/>
          </w:tcPr>
          <w:p w14:paraId="42170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Calibri" w:cs="宋体"/>
                <w:color w:val="auto"/>
                <w:sz w:val="24"/>
                <w:lang w:val="en-US" w:eastAsia="zh-CN"/>
              </w:rPr>
              <w:t>备注</w:t>
            </w:r>
          </w:p>
        </w:tc>
      </w:tr>
      <w:tr w14:paraId="19A030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noWrap w:val="0"/>
            <w:vAlign w:val="top"/>
          </w:tcPr>
          <w:p w14:paraId="2B944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vAlign w:val="top"/>
          </w:tcPr>
          <w:p w14:paraId="5B724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5EAFB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7C90E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3188E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672E3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1F192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22544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6B712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6CFB1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00234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6A2E2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25460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520DB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</w:tr>
      <w:tr w14:paraId="32C39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4B689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  <w:t>2</w:t>
            </w:r>
          </w:p>
        </w:tc>
        <w:tc>
          <w:tcPr>
            <w:tcW w:w="0" w:type="auto"/>
            <w:noWrap w:val="0"/>
            <w:vAlign w:val="top"/>
          </w:tcPr>
          <w:p w14:paraId="52A0A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74200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7394A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122C2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18AAD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7CA9A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2353D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38D49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0FCA0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4D52B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13B85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05740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1D924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</w:tr>
      <w:tr w14:paraId="257EC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4DD42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  <w:t>3</w:t>
            </w:r>
          </w:p>
        </w:tc>
        <w:tc>
          <w:tcPr>
            <w:tcW w:w="0" w:type="auto"/>
            <w:noWrap w:val="0"/>
            <w:vAlign w:val="top"/>
          </w:tcPr>
          <w:p w14:paraId="0A994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59608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3ED34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5EA11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0AD1D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0D0C3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70204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7AF34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3DFA8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0FF85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13BE4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21481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0A8AD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</w:tr>
      <w:tr w14:paraId="4BB0B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3BC77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color w:val="auto"/>
                <w:sz w:val="24"/>
                <w:lang w:val="en-US" w:eastAsia="zh-CN"/>
              </w:rPr>
              <w:t>4</w:t>
            </w:r>
          </w:p>
        </w:tc>
        <w:tc>
          <w:tcPr>
            <w:tcW w:w="0" w:type="auto"/>
            <w:noWrap w:val="0"/>
            <w:vAlign w:val="top"/>
          </w:tcPr>
          <w:p w14:paraId="6CA0B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35843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38575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47705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28002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6A656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0E3E3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101A0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73108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58EE2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3F7EC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3B81A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  <w:tc>
          <w:tcPr>
            <w:tcW w:w="0" w:type="auto"/>
            <w:noWrap w:val="0"/>
            <w:vAlign w:val="top"/>
          </w:tcPr>
          <w:p w14:paraId="37938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Calibri" w:eastAsia="仿宋_GB2312" w:cs="宋体"/>
                <w:color w:val="auto"/>
                <w:sz w:val="32"/>
                <w:szCs w:val="32"/>
              </w:rPr>
            </w:pPr>
          </w:p>
        </w:tc>
      </w:tr>
    </w:tbl>
    <w:p w14:paraId="2809E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202B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eastAsia="黑体" w:cstheme="minorBidi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eastAsia="黑体" w:hAnsiTheme="minorHAnsi" w:cstheme="minorBidi"/>
          <w:color w:val="auto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黑体" w:eastAsia="黑体" w:cstheme="minorBidi"/>
          <w:color w:val="auto"/>
          <w:kern w:val="2"/>
          <w:sz w:val="32"/>
          <w:szCs w:val="32"/>
          <w:lang w:val="en-US" w:eastAsia="zh-CN" w:bidi="ar-SA"/>
        </w:rPr>
        <w:t>2</w:t>
      </w:r>
    </w:p>
    <w:p w14:paraId="7DA13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800" w:firstLineChars="200"/>
        <w:jc w:val="center"/>
        <w:textAlignment w:val="auto"/>
        <w:rPr>
          <w:rFonts w:hint="eastAsia" w:ascii="黑体" w:hAnsi="黑体" w:eastAsia="黑体" w:cs="黑体"/>
          <w:color w:val="auto"/>
          <w:sz w:val="40"/>
          <w:szCs w:val="40"/>
          <w:lang w:eastAsia="zh-CN"/>
        </w:rPr>
      </w:pPr>
      <w:r>
        <w:rPr>
          <w:rFonts w:hint="eastAsia" w:ascii="黑体" w:hAnsi="黑体" w:eastAsia="黑体" w:cs="黑体"/>
          <w:color w:val="auto"/>
          <w:sz w:val="40"/>
          <w:szCs w:val="40"/>
          <w:lang w:eastAsia="zh-CN"/>
        </w:rPr>
        <w:t>三元区</w:t>
      </w:r>
      <w:r>
        <w:rPr>
          <w:rFonts w:hint="eastAsia" w:ascii="黑体" w:hAnsi="黑体" w:eastAsia="黑体" w:cs="黑体"/>
          <w:color w:val="auto"/>
          <w:sz w:val="40"/>
          <w:szCs w:val="40"/>
        </w:rPr>
        <w:t>规下</w:t>
      </w:r>
      <w:r>
        <w:rPr>
          <w:rFonts w:hint="eastAsia" w:ascii="黑体" w:hAnsi="黑体" w:eastAsia="黑体" w:cs="黑体"/>
          <w:color w:val="auto"/>
          <w:sz w:val="40"/>
          <w:szCs w:val="40"/>
          <w:lang w:eastAsia="zh-CN"/>
        </w:rPr>
        <w:t>畜禽</w:t>
      </w:r>
      <w:r>
        <w:rPr>
          <w:rFonts w:hint="eastAsia" w:ascii="黑体" w:hAnsi="黑体" w:eastAsia="黑体" w:cs="黑体"/>
          <w:color w:val="auto"/>
          <w:sz w:val="40"/>
          <w:szCs w:val="40"/>
        </w:rPr>
        <w:t>养殖场（户）</w:t>
      </w:r>
      <w:r>
        <w:rPr>
          <w:rFonts w:hint="eastAsia" w:ascii="黑体" w:hAnsi="黑体" w:eastAsia="黑体" w:cs="黑体"/>
          <w:color w:val="auto"/>
          <w:sz w:val="40"/>
          <w:szCs w:val="40"/>
          <w:lang w:eastAsia="zh-CN"/>
        </w:rPr>
        <w:t>整改进展情况表</w:t>
      </w:r>
    </w:p>
    <w:p w14:paraId="479784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135" w:afterLines="30" w:line="400" w:lineRule="exact"/>
        <w:textAlignment w:val="auto"/>
        <w:rPr>
          <w:rFonts w:hint="eastAsia" w:ascii="仿宋_GB2312" w:hAnsi="Calibri" w:eastAsia="仿宋_GB2312" w:cs="宋体"/>
          <w:color w:val="auto"/>
          <w:sz w:val="28"/>
          <w:szCs w:val="28"/>
        </w:rPr>
      </w:pPr>
    </w:p>
    <w:p w14:paraId="2ECD60B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135" w:afterLines="30" w:line="400" w:lineRule="exact"/>
        <w:textAlignment w:val="auto"/>
        <w:rPr>
          <w:rFonts w:hint="eastAsia" w:ascii="仿宋_GB2312" w:hAnsi="Calibri" w:eastAsia="仿宋_GB2312" w:cs="宋体"/>
          <w:color w:val="auto"/>
          <w:sz w:val="28"/>
          <w:szCs w:val="28"/>
          <w:vertAlign w:val="baseline"/>
        </w:rPr>
      </w:pPr>
      <w:r>
        <w:rPr>
          <w:rFonts w:hint="eastAsia" w:ascii="仿宋_GB2312" w:hAnsi="Calibri" w:eastAsia="仿宋_GB2312" w:cs="宋体"/>
          <w:color w:val="auto"/>
          <w:sz w:val="28"/>
          <w:szCs w:val="28"/>
        </w:rPr>
        <w:t xml:space="preserve">乡（镇）政府（章）：  </w:t>
      </w:r>
      <w:r>
        <w:rPr>
          <w:rFonts w:hint="eastAsia" w:ascii="Times New Roman" w:hAnsi="Times New Roman" w:eastAsia="仿宋_GB2312" w:cs="Times New Roman"/>
          <w:color w:val="auto"/>
          <w:sz w:val="21"/>
          <w:szCs w:val="21"/>
        </w:rPr>
        <w:t xml:space="preserve">                                                                </w:t>
      </w:r>
      <w:r>
        <w:rPr>
          <w:rFonts w:hint="eastAsia" w:ascii="仿宋_GB2312" w:hAnsi="Calibri" w:eastAsia="仿宋_GB2312" w:cs="宋体"/>
          <w:color w:val="auto"/>
          <w:sz w:val="28"/>
          <w:szCs w:val="28"/>
        </w:rPr>
        <w:t xml:space="preserve"> 填报时间：    年   月   日</w:t>
      </w:r>
    </w:p>
    <w:tbl>
      <w:tblPr>
        <w:tblStyle w:val="19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4"/>
        <w:gridCol w:w="1654"/>
        <w:gridCol w:w="1654"/>
        <w:gridCol w:w="1654"/>
        <w:gridCol w:w="1654"/>
        <w:gridCol w:w="1654"/>
        <w:gridCol w:w="1654"/>
        <w:gridCol w:w="1655"/>
        <w:gridCol w:w="1655"/>
      </w:tblGrid>
      <w:tr w14:paraId="0CD46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pct"/>
            <w:shd w:val="clear" w:color="auto" w:fill="auto"/>
            <w:vAlign w:val="top"/>
          </w:tcPr>
          <w:p w14:paraId="67582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55" w:type="pct"/>
            <w:shd w:val="clear" w:color="auto" w:fill="auto"/>
            <w:vAlign w:val="top"/>
          </w:tcPr>
          <w:p w14:paraId="06B3C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养殖户姓名</w:t>
            </w:r>
          </w:p>
        </w:tc>
        <w:tc>
          <w:tcPr>
            <w:tcW w:w="555" w:type="pct"/>
            <w:shd w:val="clear" w:color="auto" w:fill="auto"/>
            <w:vAlign w:val="top"/>
          </w:tcPr>
          <w:p w14:paraId="0DC41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55" w:type="pct"/>
            <w:shd w:val="clear" w:color="auto" w:fill="auto"/>
            <w:vAlign w:val="top"/>
          </w:tcPr>
          <w:p w14:paraId="61CAE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养殖地址</w:t>
            </w:r>
          </w:p>
        </w:tc>
        <w:tc>
          <w:tcPr>
            <w:tcW w:w="555" w:type="pct"/>
            <w:shd w:val="clear" w:color="auto" w:fill="auto"/>
            <w:vAlign w:val="top"/>
          </w:tcPr>
          <w:p w14:paraId="2AE28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当前存栏量</w:t>
            </w:r>
          </w:p>
        </w:tc>
        <w:tc>
          <w:tcPr>
            <w:tcW w:w="555" w:type="pct"/>
            <w:shd w:val="clear" w:color="auto" w:fill="auto"/>
            <w:vAlign w:val="top"/>
          </w:tcPr>
          <w:p w14:paraId="7BB0E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存在问题</w:t>
            </w:r>
          </w:p>
        </w:tc>
        <w:tc>
          <w:tcPr>
            <w:tcW w:w="555" w:type="pct"/>
            <w:shd w:val="clear" w:color="auto" w:fill="auto"/>
            <w:vAlign w:val="top"/>
          </w:tcPr>
          <w:p w14:paraId="42477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整改措施</w:t>
            </w:r>
          </w:p>
        </w:tc>
        <w:tc>
          <w:tcPr>
            <w:tcW w:w="555" w:type="pct"/>
            <w:shd w:val="clear" w:color="auto" w:fill="auto"/>
            <w:vAlign w:val="top"/>
          </w:tcPr>
          <w:p w14:paraId="35BDB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整改期限</w:t>
            </w:r>
          </w:p>
        </w:tc>
        <w:tc>
          <w:tcPr>
            <w:tcW w:w="555" w:type="pct"/>
            <w:shd w:val="clear" w:color="auto" w:fill="auto"/>
            <w:vAlign w:val="top"/>
          </w:tcPr>
          <w:p w14:paraId="17A3A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进展情况</w:t>
            </w:r>
          </w:p>
        </w:tc>
      </w:tr>
      <w:tr w14:paraId="4DDC6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pct"/>
          </w:tcPr>
          <w:p w14:paraId="15FEB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55" w:type="pct"/>
          </w:tcPr>
          <w:p w14:paraId="6DC8E5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79528F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2F4323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16EA17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4B3037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292631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40ABDA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2387A4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37C2E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pct"/>
          </w:tcPr>
          <w:p w14:paraId="5358A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555" w:type="pct"/>
          </w:tcPr>
          <w:p w14:paraId="28F1BA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081943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7C8037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33DF5A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2A9C35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20BFC96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0927FAD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5E700F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56F45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pct"/>
          </w:tcPr>
          <w:p w14:paraId="1665D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555" w:type="pct"/>
          </w:tcPr>
          <w:p w14:paraId="5A6C53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761CEE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45E8AD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7E53BB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053F6B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50B9B3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4E858C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634347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1C2C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pct"/>
          </w:tcPr>
          <w:p w14:paraId="0CF53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.....</w:t>
            </w:r>
          </w:p>
        </w:tc>
        <w:tc>
          <w:tcPr>
            <w:tcW w:w="555" w:type="pct"/>
          </w:tcPr>
          <w:p w14:paraId="309C0A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72C704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7E2FFE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2916FA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732423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59E285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7DDF4B1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555" w:type="pct"/>
          </w:tcPr>
          <w:p w14:paraId="446AB4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after="135" w:afterLines="30" w:line="400" w:lineRule="exact"/>
              <w:textAlignment w:val="auto"/>
              <w:rPr>
                <w:rFonts w:hint="eastAsia" w:ascii="仿宋_GB2312" w:hAnsi="Calibri" w:eastAsia="仿宋_GB2312" w:cs="宋体"/>
                <w:color w:val="auto"/>
                <w:sz w:val="28"/>
                <w:szCs w:val="28"/>
                <w:vertAlign w:val="baseline"/>
              </w:rPr>
            </w:pPr>
          </w:p>
        </w:tc>
      </w:tr>
    </w:tbl>
    <w:p w14:paraId="5452028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135" w:afterLines="30" w:line="400" w:lineRule="exact"/>
        <w:textAlignment w:val="auto"/>
        <w:rPr>
          <w:rFonts w:hint="eastAsia" w:ascii="仿宋_GB2312" w:hAnsi="Calibri" w:eastAsia="仿宋_GB2312" w:cs="宋体"/>
          <w:color w:val="auto"/>
          <w:sz w:val="28"/>
          <w:szCs w:val="28"/>
        </w:rPr>
      </w:pPr>
    </w:p>
    <w:p w14:paraId="3F587ECF">
      <w:pPr>
        <w:pStyle w:val="12"/>
        <w:rPr>
          <w:rFonts w:hint="eastAsia"/>
          <w:color w:val="auto"/>
        </w:rPr>
      </w:pPr>
    </w:p>
    <w:sectPr>
      <w:footerReference r:id="rId4" w:type="default"/>
      <w:pgSz w:w="16838" w:h="11906" w:orient="landscape"/>
      <w:pgMar w:top="1440" w:right="1080" w:bottom="1440" w:left="1080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5431C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BC0887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BC0887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4C4D9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BDC94E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rvvpskBAACZAwAADgAAAGRycy9lMm9Eb2MueG1srVPNjtMwEL4j8Q6W&#10;79RpV0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6u++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BDC94E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mM2MzYzZkYjIwNDgwYTUwOTczZTY5MmEwNmIxYzMifQ=="/>
  </w:docVars>
  <w:rsids>
    <w:rsidRoot w:val="64A77887"/>
    <w:rsid w:val="00572A2B"/>
    <w:rsid w:val="00E86BAB"/>
    <w:rsid w:val="010A31D0"/>
    <w:rsid w:val="025832D3"/>
    <w:rsid w:val="02C32E43"/>
    <w:rsid w:val="03B4688D"/>
    <w:rsid w:val="03B7227C"/>
    <w:rsid w:val="04547F3E"/>
    <w:rsid w:val="06093262"/>
    <w:rsid w:val="06B565C1"/>
    <w:rsid w:val="0CB730E2"/>
    <w:rsid w:val="0CC47EE3"/>
    <w:rsid w:val="0E000CAC"/>
    <w:rsid w:val="0F4920A4"/>
    <w:rsid w:val="0F841308"/>
    <w:rsid w:val="0FFF2ACC"/>
    <w:rsid w:val="11786AB5"/>
    <w:rsid w:val="136E0C91"/>
    <w:rsid w:val="14AB1989"/>
    <w:rsid w:val="16B93717"/>
    <w:rsid w:val="16DE4297"/>
    <w:rsid w:val="19121FD6"/>
    <w:rsid w:val="19B4308D"/>
    <w:rsid w:val="19B948B5"/>
    <w:rsid w:val="1A7918C4"/>
    <w:rsid w:val="1B5543FC"/>
    <w:rsid w:val="1D284BA0"/>
    <w:rsid w:val="1F0E71E9"/>
    <w:rsid w:val="1F2A1C7F"/>
    <w:rsid w:val="2130749E"/>
    <w:rsid w:val="21407896"/>
    <w:rsid w:val="21DA1403"/>
    <w:rsid w:val="26176E7E"/>
    <w:rsid w:val="27232831"/>
    <w:rsid w:val="282F1B4A"/>
    <w:rsid w:val="286F11F3"/>
    <w:rsid w:val="287F7407"/>
    <w:rsid w:val="295C4028"/>
    <w:rsid w:val="2A571F3F"/>
    <w:rsid w:val="2BD79E4F"/>
    <w:rsid w:val="30202EFB"/>
    <w:rsid w:val="31CD6E92"/>
    <w:rsid w:val="3B810D6B"/>
    <w:rsid w:val="3DCB343F"/>
    <w:rsid w:val="3DFA7C86"/>
    <w:rsid w:val="4093314D"/>
    <w:rsid w:val="46A7172A"/>
    <w:rsid w:val="47496B63"/>
    <w:rsid w:val="49FE1CAD"/>
    <w:rsid w:val="4AD109F3"/>
    <w:rsid w:val="4B592FEF"/>
    <w:rsid w:val="4B5A4F93"/>
    <w:rsid w:val="4B65122A"/>
    <w:rsid w:val="4C7B0B8A"/>
    <w:rsid w:val="4DBB394A"/>
    <w:rsid w:val="4E2A50F1"/>
    <w:rsid w:val="4F36759C"/>
    <w:rsid w:val="500D0826"/>
    <w:rsid w:val="5041313C"/>
    <w:rsid w:val="528868C6"/>
    <w:rsid w:val="54AD0051"/>
    <w:rsid w:val="56490CF3"/>
    <w:rsid w:val="58E31EE2"/>
    <w:rsid w:val="599F661F"/>
    <w:rsid w:val="5BEF0526"/>
    <w:rsid w:val="5FA51979"/>
    <w:rsid w:val="63F05C37"/>
    <w:rsid w:val="64A77887"/>
    <w:rsid w:val="67E10AAC"/>
    <w:rsid w:val="691D63F7"/>
    <w:rsid w:val="6B9B0F84"/>
    <w:rsid w:val="6E1865CF"/>
    <w:rsid w:val="6FFD321F"/>
    <w:rsid w:val="716B139A"/>
    <w:rsid w:val="71F9768E"/>
    <w:rsid w:val="7266063B"/>
    <w:rsid w:val="73A61E83"/>
    <w:rsid w:val="761E73DF"/>
    <w:rsid w:val="76FF0CD9"/>
    <w:rsid w:val="77195203"/>
    <w:rsid w:val="7779C36B"/>
    <w:rsid w:val="779C02AB"/>
    <w:rsid w:val="78E81581"/>
    <w:rsid w:val="7A7E7D87"/>
    <w:rsid w:val="7B031175"/>
    <w:rsid w:val="7C647170"/>
    <w:rsid w:val="7C945A47"/>
    <w:rsid w:val="7E6950CA"/>
    <w:rsid w:val="7E89233F"/>
    <w:rsid w:val="7E8B75AC"/>
    <w:rsid w:val="7F7E938E"/>
    <w:rsid w:val="7F806F63"/>
    <w:rsid w:val="7FB421BD"/>
    <w:rsid w:val="BEDE84A7"/>
    <w:rsid w:val="C94FEDD3"/>
    <w:rsid w:val="CEFE1C8F"/>
    <w:rsid w:val="DAE29AB4"/>
    <w:rsid w:val="DFCE03CD"/>
    <w:rsid w:val="EFE7DE38"/>
    <w:rsid w:val="F6EFFF1A"/>
    <w:rsid w:val="FB3B9941"/>
    <w:rsid w:val="FDD695A2"/>
    <w:rsid w:val="FF5C4887"/>
    <w:rsid w:val="FF7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unhideWhenUsed/>
    <w:qFormat/>
    <w:uiPriority w:val="99"/>
    <w:pPr>
      <w:ind w:firstLine="420" w:firstLineChars="200"/>
    </w:pPr>
  </w:style>
  <w:style w:type="paragraph" w:styleId="4">
    <w:name w:val="Normal Indent"/>
    <w:basedOn w:val="1"/>
    <w:next w:val="1"/>
    <w:qFormat/>
    <w:uiPriority w:val="99"/>
    <w:pPr>
      <w:ind w:firstLine="420" w:firstLine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index 6"/>
    <w:basedOn w:val="1"/>
    <w:next w:val="1"/>
    <w:qFormat/>
    <w:uiPriority w:val="0"/>
    <w:pPr>
      <w:ind w:left="2100"/>
    </w:pPr>
  </w:style>
  <w:style w:type="paragraph" w:styleId="7">
    <w:name w:val="Body Text"/>
    <w:basedOn w:val="1"/>
    <w:qFormat/>
    <w:uiPriority w:val="0"/>
    <w:pPr>
      <w:spacing w:before="0" w:beforeLines="0" w:after="140" w:afterLines="0" w:line="276" w:lineRule="auto"/>
    </w:pPr>
  </w:style>
  <w:style w:type="paragraph" w:styleId="8">
    <w:name w:val="Body Text Indent"/>
    <w:basedOn w:val="1"/>
    <w:next w:val="1"/>
    <w:unhideWhenUsed/>
    <w:qFormat/>
    <w:uiPriority w:val="99"/>
    <w:pPr>
      <w:spacing w:after="120" w:afterLines="0"/>
      <w:ind w:left="420" w:leftChars="200"/>
    </w:pPr>
  </w:style>
  <w:style w:type="paragraph" w:styleId="9">
    <w:name w:val="toc 5"/>
    <w:basedOn w:val="1"/>
    <w:next w:val="1"/>
    <w:unhideWhenUsed/>
    <w:qFormat/>
    <w:uiPriority w:val="39"/>
    <w:pPr>
      <w:ind w:firstLine="708" w:firstLineChars="196"/>
    </w:pPr>
    <w:rPr>
      <w:rFonts w:ascii="楷体_GB2312" w:hAnsi="仿宋_GB2312" w:eastAsia="楷体_GB2312" w:cs="仿宋_GB2312"/>
      <w:b/>
      <w:bCs/>
      <w:sz w:val="36"/>
      <w:szCs w:val="36"/>
    </w:rPr>
  </w:style>
  <w:style w:type="paragraph" w:styleId="10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1">
    <w:name w:val="Body Text Indent 2"/>
    <w:basedOn w:val="1"/>
    <w:next w:val="6"/>
    <w:qFormat/>
    <w:uiPriority w:val="99"/>
    <w:pPr>
      <w:spacing w:after="120" w:line="480" w:lineRule="auto"/>
      <w:ind w:left="420" w:leftChars="200"/>
    </w:pPr>
  </w:style>
  <w:style w:type="paragraph" w:styleId="12">
    <w:name w:val="Balloon Text"/>
    <w:basedOn w:val="1"/>
    <w:qFormat/>
    <w:uiPriority w:val="0"/>
    <w:rPr>
      <w:sz w:val="18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next w:val="1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Body Text First Indent"/>
    <w:basedOn w:val="7"/>
    <w:qFormat/>
    <w:uiPriority w:val="99"/>
    <w:pPr>
      <w:ind w:firstLine="420" w:firstLineChars="100"/>
    </w:pPr>
    <w:rPr>
      <w:rFonts w:cs="Calibri"/>
      <w:szCs w:val="21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annotation reference"/>
    <w:basedOn w:val="20"/>
    <w:qFormat/>
    <w:uiPriority w:val="0"/>
    <w:rPr>
      <w:sz w:val="21"/>
      <w:szCs w:val="21"/>
    </w:rPr>
  </w:style>
  <w:style w:type="paragraph" w:customStyle="1" w:styleId="23">
    <w:name w:val="Body Text First Indent 21"/>
    <w:basedOn w:val="1"/>
    <w:qFormat/>
    <w:uiPriority w:val="0"/>
    <w:pPr>
      <w:spacing w:line="340" w:lineRule="exact"/>
      <w:ind w:left="420" w:leftChars="200" w:right="-139" w:hanging="26" w:hangingChars="26"/>
    </w:pPr>
    <w:rPr>
      <w:rFonts w:ascii="华文中宋" w:hAnsi="华文中宋" w:eastAsia="华文中宋"/>
      <w:sz w:val="24"/>
      <w:szCs w:val="20"/>
    </w:rPr>
  </w:style>
  <w:style w:type="paragraph" w:customStyle="1" w:styleId="24">
    <w:name w:val="1.正文"/>
    <w:basedOn w:val="1"/>
    <w:unhideWhenUsed/>
    <w:qFormat/>
    <w:uiPriority w:val="99"/>
    <w:pPr>
      <w:widowControl w:val="0"/>
      <w:adjustRightInd w:val="0"/>
      <w:spacing w:beforeLines="0" w:afterLines="0"/>
    </w:pPr>
    <w:rPr>
      <w:rFonts w:hint="eastAsia"/>
      <w:sz w:val="31"/>
      <w:szCs w:val="24"/>
    </w:rPr>
  </w:style>
  <w:style w:type="paragraph" w:customStyle="1" w:styleId="25">
    <w:name w:val="无间隔1"/>
    <w:qFormat/>
    <w:uiPriority w:val="0"/>
    <w:pPr>
      <w:spacing w:line="400" w:lineRule="exact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26">
    <w:name w:val="样式2"/>
    <w:basedOn w:val="1"/>
    <w:qFormat/>
    <w:uiPriority w:val="0"/>
    <w:pPr>
      <w:spacing w:line="600" w:lineRule="exact"/>
      <w:ind w:right="-47" w:rightChars="-47" w:firstLine="200" w:firstLineChars="200"/>
    </w:pPr>
    <w:rPr>
      <w:bCs/>
      <w:szCs w:val="28"/>
    </w:rPr>
  </w:style>
  <w:style w:type="paragraph" w:customStyle="1" w:styleId="27">
    <w:name w:val="UserStyle_0"/>
    <w:basedOn w:val="28"/>
    <w:qFormat/>
    <w:uiPriority w:val="0"/>
    <w:pPr>
      <w:spacing w:after="120"/>
      <w:ind w:left="200" w:leftChars="200" w:firstLine="420" w:firstLineChars="200"/>
    </w:pPr>
  </w:style>
  <w:style w:type="paragraph" w:customStyle="1" w:styleId="28">
    <w:name w:val="UserStyle_1"/>
    <w:basedOn w:val="1"/>
    <w:next w:val="1"/>
    <w:qFormat/>
    <w:uiPriority w:val="0"/>
    <w:pPr>
      <w:spacing w:after="120"/>
      <w:ind w:left="200" w:leftChars="20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3796</Words>
  <Characters>3977</Characters>
  <Lines>0</Lines>
  <Paragraphs>0</Paragraphs>
  <TotalTime>35</TotalTime>
  <ScaleCrop>false</ScaleCrop>
  <LinksUpToDate>false</LinksUpToDate>
  <CharactersWithSpaces>4060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2022-07-16T09:38:00Z</dcterms:created>
  <dc:creator>Administrator</dc:creator>
  <cp:lastModifiedBy>M.</cp:lastModifiedBy>
  <cp:lastPrinted>2026-04-17T09:03:00Z</cp:lastPrinted>
  <dcterms:modified xsi:type="dcterms:W3CDTF">2026-08-31T08:56:01Z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F9DEC673CA7F4588A4C579B4227C7164_13</vt:lpwstr>
  </property>
  <property fmtid="{D5CDD505-2E9C-101B-9397-08002B2CF9AE}" pid="4" name="KSOTemplateDocerSaveRecord">
    <vt:lpwstr>eyJoZGlkIjoiMTM0YTJjOWRkODU2YzI4NDA2ZjdlYjM4YWI5MTY4ZDciLCJ1c2VySWQiOiIyNTU2NDgzNDgifQ==</vt:lpwstr>
  </property>
</Properties>
</file>