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02ED9">
      <w:pPr>
        <w:adjustRightInd w:val="0"/>
        <w:snapToGrid w:val="0"/>
        <w:jc w:val="center"/>
        <w:rPr>
          <w:rFonts w:asci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宋体"/>
          <w:color w:val="000000"/>
          <w:sz w:val="44"/>
          <w:szCs w:val="44"/>
        </w:rPr>
        <w:t>202</w:t>
      </w:r>
      <w:r>
        <w:rPr>
          <w:rFonts w:hint="eastAsia" w:ascii="方正小标宋简体" w:eastAsia="方正小标宋简体" w:cs="宋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 w:cs="宋体"/>
          <w:color w:val="000000"/>
          <w:sz w:val="44"/>
          <w:szCs w:val="44"/>
        </w:rPr>
        <w:t>年</w:t>
      </w:r>
      <w:r>
        <w:rPr>
          <w:rFonts w:hint="eastAsia" w:ascii="方正小标宋简体" w:eastAsia="方正小标宋简体" w:cs="宋体"/>
          <w:color w:val="000000"/>
          <w:sz w:val="44"/>
          <w:szCs w:val="44"/>
          <w:lang w:val="en-US" w:eastAsia="zh-CN"/>
        </w:rPr>
        <w:t>三元区</w:t>
      </w:r>
      <w:r>
        <w:rPr>
          <w:rFonts w:hint="eastAsia" w:ascii="方正小标宋简体" w:eastAsia="方正小标宋简体" w:cs="宋体"/>
          <w:color w:val="000000"/>
          <w:sz w:val="44"/>
          <w:szCs w:val="44"/>
        </w:rPr>
        <w:t>高素质农民培训（省级资金）</w:t>
      </w:r>
    </w:p>
    <w:p w14:paraId="007F4D8A">
      <w:pPr>
        <w:adjustRightInd w:val="0"/>
        <w:snapToGrid w:val="0"/>
        <w:jc w:val="center"/>
        <w:rPr>
          <w:rFonts w:hint="eastAsia" w:asci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 w:cs="方正小标宋简体"/>
          <w:color w:val="000000"/>
          <w:sz w:val="44"/>
          <w:szCs w:val="44"/>
        </w:rPr>
        <w:t>项目实施方案</w:t>
      </w:r>
    </w:p>
    <w:p w14:paraId="4211D6E1">
      <w:pPr>
        <w:spacing w:line="600" w:lineRule="exact"/>
        <w:ind w:firstLine="640" w:firstLineChars="200"/>
        <w:jc w:val="center"/>
        <w:rPr>
          <w:rFonts w:hint="eastAsia" w:ascii="仿宋_GB2312" w:hAnsi="Batang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征求意见稿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）</w:t>
      </w:r>
    </w:p>
    <w:bookmarkEnd w:id="0"/>
    <w:p w14:paraId="2F33AF59">
      <w:pPr>
        <w:rPr>
          <w:rFonts w:eastAsia="仿宋_GB2312"/>
          <w:color w:val="000000"/>
          <w:sz w:val="32"/>
          <w:szCs w:val="32"/>
        </w:rPr>
      </w:pPr>
    </w:p>
    <w:p w14:paraId="501ECB6F">
      <w:pPr>
        <w:spacing w:line="600" w:lineRule="exact"/>
        <w:ind w:firstLine="640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仿宋_GB2312" w:hAnsi="Batang" w:eastAsia="仿宋_GB2312" w:cs="仿宋_GB2312"/>
          <w:sz w:val="32"/>
          <w:szCs w:val="32"/>
        </w:rPr>
        <w:t>根据《福建省财政厅 福建省农业农村厅关于下达202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Batang" w:eastAsia="仿宋_GB2312" w:cs="仿宋_GB2312"/>
          <w:sz w:val="32"/>
          <w:szCs w:val="32"/>
        </w:rPr>
        <w:t>年特色现代农业发展专项资金的通知》（闽财农指〔202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Batang" w:eastAsia="仿宋_GB2312" w:cs="仿宋_GB2312"/>
          <w:sz w:val="32"/>
          <w:szCs w:val="32"/>
        </w:rPr>
        <w:t>〕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Batang" w:eastAsia="仿宋_GB2312" w:cs="仿宋_GB2312"/>
          <w:sz w:val="32"/>
          <w:szCs w:val="32"/>
        </w:rPr>
        <w:t>号）文件要求，结合我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实际，制定本方案。</w:t>
      </w:r>
    </w:p>
    <w:p w14:paraId="1586A1DA">
      <w:pPr>
        <w:spacing w:line="580" w:lineRule="exact"/>
        <w:ind w:firstLine="640" w:firstLineChars="200"/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一、目标任务</w:t>
      </w:r>
    </w:p>
    <w:p w14:paraId="1DE0DDDA">
      <w:pPr>
        <w:spacing w:line="580" w:lineRule="exact"/>
        <w:ind w:firstLine="640" w:firstLineChars="200"/>
        <w:rPr>
          <w:rFonts w:ascii="微软雅黑" w:hAnsi="微软雅黑" w:eastAsia="微软雅黑" w:cs="微软雅黑"/>
          <w:i w:val="0"/>
          <w:iCs w:val="0"/>
          <w:caps w:val="0"/>
          <w:color w:val="393939"/>
          <w:spacing w:val="0"/>
          <w:sz w:val="31"/>
          <w:szCs w:val="31"/>
          <w:shd w:val="clear" w:fill="FFFFFF"/>
        </w:rPr>
      </w:pPr>
      <w:r>
        <w:rPr>
          <w:rFonts w:hint="eastAsia" w:ascii="仿宋_GB2312" w:hAnsi="Batang" w:eastAsia="仿宋_GB2312" w:cs="仿宋_GB2312"/>
          <w:sz w:val="32"/>
          <w:szCs w:val="32"/>
        </w:rPr>
        <w:t>聚焦我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现代特色农业高质量发展和乡村振兴人才需求，以满足农民生产需要为核心，以提高农民科技文化素质为导向，以培育壮大“新农人”队伍为重点，组织实施高素质农民培育工程，为加快乡村全面振兴和农业农村现代化提供人才保障。202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Batang" w:eastAsia="仿宋_GB2312" w:cs="仿宋_GB2312"/>
          <w:sz w:val="32"/>
          <w:szCs w:val="32"/>
        </w:rPr>
        <w:t>年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上级</w:t>
      </w:r>
      <w:r>
        <w:rPr>
          <w:rFonts w:hint="eastAsia" w:ascii="仿宋_GB2312" w:hAnsi="Batang" w:eastAsia="仿宋_GB2312" w:cs="仿宋_GB2312"/>
          <w:sz w:val="32"/>
          <w:szCs w:val="32"/>
        </w:rPr>
        <w:t>下达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三元区</w:t>
      </w:r>
      <w:r>
        <w:rPr>
          <w:rFonts w:hint="eastAsia" w:ascii="仿宋_GB2312" w:hAnsi="Batang" w:eastAsia="仿宋_GB2312" w:cs="仿宋_GB2312"/>
          <w:sz w:val="32"/>
          <w:szCs w:val="32"/>
        </w:rPr>
        <w:t>高素质农民培训省级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资金10</w:t>
      </w:r>
      <w:r>
        <w:rPr>
          <w:rFonts w:hint="eastAsia" w:ascii="仿宋_GB2312" w:hAnsi="Batang" w:eastAsia="仿宋_GB2312" w:cs="仿宋_GB2312"/>
          <w:sz w:val="32"/>
          <w:szCs w:val="32"/>
        </w:rPr>
        <w:t>万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Batang" w:eastAsia="仿宋_GB2312" w:cs="仿宋_GB2312"/>
          <w:sz w:val="32"/>
          <w:szCs w:val="32"/>
        </w:rPr>
        <w:t>，目标培训高素质农民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Batang" w:eastAsia="仿宋_GB2312" w:cs="仿宋_GB2312"/>
          <w:sz w:val="32"/>
          <w:szCs w:val="32"/>
        </w:rPr>
        <w:t>人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各乡镇、街道学员遴选推荐人数见附件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）</w:t>
      </w:r>
      <w:r>
        <w:rPr>
          <w:rFonts w:ascii="微软雅黑" w:hAnsi="微软雅黑" w:eastAsia="微软雅黑" w:cs="微软雅黑"/>
          <w:i w:val="0"/>
          <w:iCs w:val="0"/>
          <w:caps w:val="0"/>
          <w:color w:val="393939"/>
          <w:spacing w:val="0"/>
          <w:sz w:val="31"/>
          <w:szCs w:val="31"/>
          <w:shd w:val="clear" w:fill="FFFFFF"/>
        </w:rPr>
        <w:t>。</w:t>
      </w:r>
    </w:p>
    <w:p w14:paraId="66E21E46">
      <w:pPr>
        <w:spacing w:line="580" w:lineRule="exact"/>
        <w:ind w:firstLine="640" w:firstLineChars="200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二、培育对象</w:t>
      </w:r>
    </w:p>
    <w:p w14:paraId="07FD9137">
      <w:pPr>
        <w:spacing w:line="580" w:lineRule="exact"/>
        <w:ind w:firstLine="640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培育对象应为</w:t>
      </w:r>
      <w:r>
        <w:rPr>
          <w:rFonts w:hint="eastAsia" w:ascii="仿宋_GB2312" w:hAnsi="Batang" w:eastAsia="仿宋_GB2312" w:cs="仿宋_GB2312"/>
          <w:sz w:val="32"/>
          <w:szCs w:val="32"/>
        </w:rPr>
        <w:t>正在从事或有意愿从事农业农村领域生产、经营、服务的农民和返乡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人员</w:t>
      </w:r>
      <w:r>
        <w:rPr>
          <w:rFonts w:hint="eastAsia" w:ascii="仿宋_GB2312" w:hAnsi="Batang" w:eastAsia="仿宋_GB2312" w:cs="仿宋_GB2312"/>
          <w:sz w:val="32"/>
          <w:szCs w:val="32"/>
        </w:rPr>
        <w:t>、乡村治理及社会事业服务等人员，主要为新型农业经营主体带头人和其他乡村振兴骨干人员，重点面向在乡村产业发展、乡村建设、乡村治理领域，具备新理念、新知识、新技能、新业态、新生产组织方式等现代化特质的“新农人”。每位培训对象本年度只能参加省级资金培训项目1次。</w:t>
      </w:r>
    </w:p>
    <w:p w14:paraId="088D7C36">
      <w:pPr>
        <w:spacing w:line="580" w:lineRule="exact"/>
        <w:ind w:firstLine="640" w:firstLineChars="200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三、重点任务</w:t>
      </w:r>
    </w:p>
    <w:p w14:paraId="62FF1EC2">
      <w:pPr>
        <w:spacing w:line="580" w:lineRule="exact"/>
        <w:ind w:firstLine="640" w:firstLineChars="200"/>
        <w:rPr>
          <w:rFonts w:hint="default" w:ascii="仿宋_GB2312" w:hAnsi="Batang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Batang" w:eastAsia="仿宋_GB2312" w:cs="仿宋_GB2312"/>
          <w:sz w:val="32"/>
          <w:szCs w:val="32"/>
        </w:rPr>
        <w:t>聚焦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我区主导产业</w:t>
      </w:r>
      <w:r>
        <w:rPr>
          <w:rFonts w:hint="eastAsia" w:ascii="仿宋_GB2312" w:hAnsi="Batang" w:eastAsia="仿宋_GB2312" w:cs="仿宋_GB2312"/>
          <w:sz w:val="32"/>
          <w:szCs w:val="32"/>
        </w:rPr>
        <w:t>技术技能水平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提升</w:t>
      </w:r>
      <w:r>
        <w:rPr>
          <w:rFonts w:hint="eastAsia" w:ascii="仿宋_GB2312" w:hAnsi="Batang" w:eastAsia="仿宋_GB2312" w:cs="仿宋_GB2312"/>
          <w:sz w:val="32"/>
          <w:szCs w:val="32"/>
        </w:rPr>
        <w:t>，组织实施“新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农技</w:t>
      </w:r>
      <w:r>
        <w:rPr>
          <w:rFonts w:hint="eastAsia" w:ascii="仿宋_GB2312" w:hAnsi="Batang" w:eastAsia="仿宋_GB2312" w:cs="仿宋_GB2312"/>
          <w:sz w:val="32"/>
          <w:szCs w:val="32"/>
        </w:rPr>
        <w:t>”培训工程。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重点围绕经济作物种植技术技能提升，面向新型农业经营主体、农业社会化服务主体、种植大户等，开展专题技术培训，不断壮大专业生产型“新农人”队伍。</w:t>
      </w:r>
    </w:p>
    <w:p w14:paraId="46EE80A7">
      <w:pPr>
        <w:spacing w:line="580" w:lineRule="exact"/>
        <w:ind w:firstLine="640" w:firstLineChars="200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四、资金使用</w:t>
      </w:r>
    </w:p>
    <w:p w14:paraId="7B68E077">
      <w:pPr>
        <w:spacing w:line="580" w:lineRule="exact"/>
        <w:ind w:firstLine="640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仿宋_GB2312" w:hAnsi="Batang" w:eastAsia="仿宋_GB2312" w:cs="仿宋_GB2312"/>
          <w:sz w:val="32"/>
          <w:szCs w:val="32"/>
        </w:rPr>
        <w:t>严格执行《福建省特色现代农业发展专项资金管理办法》等文件要求，按照“谁使用，谁负责”的原则，规范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资金</w:t>
      </w:r>
      <w:r>
        <w:rPr>
          <w:rFonts w:hint="eastAsia" w:ascii="仿宋_GB2312" w:hAnsi="Batang" w:eastAsia="仿宋_GB2312" w:cs="仿宋_GB2312"/>
          <w:sz w:val="32"/>
          <w:szCs w:val="32"/>
        </w:rPr>
        <w:t>管理，确保专款专用。</w:t>
      </w:r>
    </w:p>
    <w:p w14:paraId="40F35792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（一）补助标准。</w:t>
      </w:r>
      <w:r>
        <w:rPr>
          <w:rFonts w:hint="eastAsia" w:ascii="仿宋_GB2312" w:hAnsi="Batang" w:eastAsia="仿宋_GB2312" w:cs="仿宋_GB2312"/>
          <w:sz w:val="32"/>
          <w:szCs w:val="32"/>
        </w:rPr>
        <w:t>高素质农民培训省级资金的培训时长一般为3-5天，补助标准为每人每天不超过 350元。</w:t>
      </w:r>
    </w:p>
    <w:p w14:paraId="4C8E9E0A">
      <w:pPr>
        <w:spacing w:line="580" w:lineRule="exact"/>
        <w:ind w:firstLine="643" w:firstLineChars="200"/>
        <w:rPr>
          <w:rFonts w:hint="default" w:ascii="仿宋_GB2312" w:hAnsi="Batang" w:eastAsia="楷体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（二）使用范围。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高素质农民培育省级资金参照《高素质农民培育规范（修订）》中要求，培育机构应当按照相关规定和合同、协议约定的用途使用培育资金。可使用培育资金支付培育全过程环节所需费用，按照“谁使用谁负责”的原则，规范资金使用。不得擅自改变资金用途或擅自转拨资金，不得给培育对象发放补助。</w:t>
      </w:r>
    </w:p>
    <w:p w14:paraId="5E706BCC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（三）验收与资金支付。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农业农村局督促培训任务承担单位建立培训台账，切实做到台账明晰，加强对培训单位各班次的检查验收，准确掌握培训情况及成效，确保档案资料完整准确。完成培育经验收合格后及时拨付培育项目资金，并及时在福建省农业农村厅财政资金上报系统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和乡村振兴（扶贫惠农）资金在线监管平台上及时规范</w:t>
      </w:r>
      <w:r>
        <w:rPr>
          <w:rFonts w:hint="eastAsia" w:ascii="仿宋_GB2312" w:hAnsi="Batang" w:eastAsia="仿宋_GB2312" w:cs="仿宋_GB2312"/>
          <w:sz w:val="32"/>
          <w:szCs w:val="32"/>
        </w:rPr>
        <w:t>填报。</w:t>
      </w:r>
    </w:p>
    <w:p w14:paraId="389019E9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（四）强化资金监管。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农业农村局、财政局加强对培训资金监管力度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Batang" w:eastAsia="仿宋_GB2312" w:cs="仿宋_GB2312"/>
          <w:sz w:val="32"/>
          <w:szCs w:val="32"/>
        </w:rPr>
        <w:t>坚决杜绝资金使用管理上的违纪违规问题，对违反专项资金使用规定，截留、套取、挪用、滥用或造成资金损失的单位和个人，依照《财政违法行为处罚处分条例》等国家有关规定处理，并追回补助资金。</w:t>
      </w:r>
    </w:p>
    <w:p w14:paraId="74093C1D">
      <w:pPr>
        <w:spacing w:line="580" w:lineRule="exact"/>
        <w:ind w:firstLine="640" w:firstLineChars="200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五、完善培育体系</w:t>
      </w:r>
    </w:p>
    <w:p w14:paraId="017EFBE0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机构遴选。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农业农村部门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遵循竞争择优原则遴选培育机构</w:t>
      </w:r>
      <w:r>
        <w:rPr>
          <w:rFonts w:hint="eastAsia" w:ascii="仿宋_GB2312" w:hAnsi="Batang" w:eastAsia="仿宋_GB2312" w:cs="仿宋_GB2312"/>
          <w:sz w:val="32"/>
          <w:szCs w:val="32"/>
        </w:rPr>
        <w:t>，加强对承担培训任务机构资质条件审核。政府购买服务合同应明确培育目标任务、任务完成期限、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培训方式、</w:t>
      </w:r>
      <w:r>
        <w:rPr>
          <w:rFonts w:hint="eastAsia" w:ascii="仿宋_GB2312" w:hAnsi="Batang" w:eastAsia="仿宋_GB2312" w:cs="仿宋_GB2312"/>
          <w:sz w:val="32"/>
          <w:szCs w:val="32"/>
        </w:rPr>
        <w:t>培育质量要求、跟踪指导服务要求、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资金用途、</w:t>
      </w:r>
      <w:r>
        <w:rPr>
          <w:rFonts w:hint="eastAsia" w:ascii="仿宋_GB2312" w:hAnsi="Batang" w:eastAsia="仿宋_GB2312" w:cs="仿宋_GB2312"/>
          <w:sz w:val="32"/>
          <w:szCs w:val="32"/>
        </w:rPr>
        <w:t>绩效目标等。对出现分包、转包培育任务等违规行为的培育机构，取消当年培育任务并追缴项目资金，从培育单位库中除名，5年内不再接受其申请入库。上一年度培育项目验收不合格不得承担本年度的培育项目。</w:t>
      </w:r>
    </w:p>
    <w:p w14:paraId="55940CAA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培育师资。</w:t>
      </w:r>
      <w:r>
        <w:rPr>
          <w:rFonts w:hint="eastAsia" w:ascii="仿宋_GB2312" w:hAnsi="Batang" w:eastAsia="仿宋_GB2312" w:cs="仿宋_GB2312"/>
          <w:sz w:val="32"/>
          <w:szCs w:val="32"/>
        </w:rPr>
        <w:t>培育机构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选用的培育师资应具备相应课程的专业条件</w:t>
      </w:r>
      <w:r>
        <w:rPr>
          <w:rFonts w:hint="eastAsia" w:ascii="仿宋_GB2312" w:hAnsi="Batang" w:eastAsia="仿宋_GB2312" w:cs="仿宋_GB2312"/>
          <w:sz w:val="32"/>
          <w:szCs w:val="32"/>
        </w:rPr>
        <w:t>，教师擅长领域和专业方向要与所授课程一致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授课方式易于农民接受，教授内容通俗实用</w:t>
      </w:r>
      <w:r>
        <w:rPr>
          <w:rFonts w:hint="eastAsia" w:ascii="仿宋_GB2312" w:hAnsi="Batang" w:eastAsia="仿宋_GB2312" w:cs="仿宋_GB2312"/>
          <w:sz w:val="32"/>
          <w:szCs w:val="32"/>
        </w:rPr>
        <w:t>。选聘农业大中专院校、科研院所的专家教授、农技推广骨干、全国共享师资等优秀师资，推荐使用经省级培训的农民讲师、“田秀才”“土专家”“优秀新农人”等善于教学的本土师资；减少使用学员评价率低于80%、评分低于4.5分的师资。</w:t>
      </w:r>
    </w:p>
    <w:p w14:paraId="5F811B3C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培训教材。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区农业农村局负责审核培育教材，</w:t>
      </w:r>
      <w:r>
        <w:rPr>
          <w:rFonts w:hint="eastAsia" w:ascii="仿宋_GB2312" w:hAnsi="Batang" w:eastAsia="仿宋_GB2312" w:cs="仿宋_GB2312"/>
          <w:sz w:val="32"/>
          <w:szCs w:val="32"/>
        </w:rPr>
        <w:t>加强培训教材意识形态方面审核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培育机构要严格把控教材质量，</w:t>
      </w:r>
      <w:r>
        <w:rPr>
          <w:rFonts w:hint="eastAsia" w:ascii="仿宋_GB2312" w:hAnsi="Batang" w:eastAsia="仿宋_GB2312" w:cs="仿宋_GB2312"/>
          <w:sz w:val="32"/>
          <w:szCs w:val="32"/>
        </w:rPr>
        <w:t>规范使用教材，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推荐</w:t>
      </w:r>
      <w:r>
        <w:rPr>
          <w:rFonts w:hint="eastAsia" w:ascii="仿宋_GB2312" w:hAnsi="Batang" w:eastAsia="仿宋_GB2312" w:cs="仿宋_GB2312"/>
          <w:sz w:val="32"/>
          <w:szCs w:val="32"/>
        </w:rPr>
        <w:t>使用部省级农民教育培训教材，鼓励培育机构探索使用“手册式”“扫码式”等符合农民学习特点的培育教材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。</w:t>
      </w:r>
    </w:p>
    <w:p w14:paraId="5FE7AF6D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培训（实训）基地。</w:t>
      </w:r>
      <w:r>
        <w:rPr>
          <w:rFonts w:hint="eastAsia" w:ascii="仿宋_GB2312" w:hAnsi="Batang" w:eastAsia="仿宋_GB2312" w:cs="仿宋_GB2312"/>
          <w:sz w:val="32"/>
          <w:szCs w:val="32"/>
        </w:rPr>
        <w:t>突出“实战”导向，依托现代农业产业园、高素质农民实训基地、农业科技示范展示基地、科技小院等阵地，把课堂设在田间地头，把技术培训与生产周期紧密结合，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可采用</w:t>
      </w:r>
      <w:r>
        <w:rPr>
          <w:rFonts w:hint="eastAsia" w:ascii="仿宋_GB2312" w:hAnsi="Batang" w:eastAsia="仿宋_GB2312" w:cs="仿宋_GB2312"/>
          <w:sz w:val="32"/>
          <w:szCs w:val="32"/>
        </w:rPr>
        <w:t>分段式、交替式的田间实践训练，促进学以致用、教学相长。</w:t>
      </w:r>
    </w:p>
    <w:p w14:paraId="44D3DC91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）优化培训课程。</w:t>
      </w:r>
      <w:r>
        <w:rPr>
          <w:rFonts w:hint="eastAsia" w:ascii="仿宋_GB2312" w:hAnsi="Batang" w:eastAsia="仿宋_GB2312" w:cs="仿宋_GB2312"/>
          <w:sz w:val="32"/>
          <w:szCs w:val="32"/>
        </w:rPr>
        <w:t>要紧贴农业生产全过程和全产业链发展的需要，开发特色课程。针对“新农人”培训工程，举办1期以上“新农人专题培训班”并在培训合格证上标识。开发特色课程，采取线上线下混合式教学方式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可按线下20学时+线上4学时</w:t>
      </w:r>
      <w:r>
        <w:rPr>
          <w:rFonts w:hint="eastAsia" w:ascii="仿宋_GB2312" w:hAnsi="Batang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Batang" w:eastAsia="仿宋_GB2312" w:cs="仿宋_GB2312"/>
          <w:sz w:val="32"/>
          <w:szCs w:val="32"/>
        </w:rPr>
        <w:t>，理论学习、送教下乡、田间教学和异地考察相结合的多种培训模式，满足农民多元化、个性化、实用化学习需求，优化培训课程，提升培训针对性、实效性。</w:t>
      </w:r>
    </w:p>
    <w:p w14:paraId="1A8A2ACA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）延伸服务。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农业农村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Batang" w:eastAsia="仿宋_GB2312" w:cs="仿宋_GB2312"/>
          <w:sz w:val="32"/>
          <w:szCs w:val="32"/>
        </w:rPr>
        <w:t>和培育机构要组织任课老师、专家对培训学员开展跟踪指导服务；积极搭建产销对接、技能竞赛活动等交流平台；引导成立协会、联合会、联盟等组织，鼓励高素质农民抱团发展，帮助高素质农民提升发展能力。</w:t>
      </w:r>
    </w:p>
    <w:p w14:paraId="6365D9E8"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六、有关要求</w:t>
      </w:r>
    </w:p>
    <w:p w14:paraId="5E34EC53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（一）加强组织领导。</w:t>
      </w:r>
      <w:r>
        <w:rPr>
          <w:rFonts w:hint="eastAsia" w:ascii="仿宋_GB2312" w:hAnsi="Batang" w:eastAsia="仿宋_GB2312" w:cs="仿宋_GB2312"/>
          <w:sz w:val="32"/>
          <w:szCs w:val="32"/>
        </w:rPr>
        <w:t>高度重视，落实一级抓一级、层层抓落实的工作机制，扎实做好培育对象调查摸底，紧盯绩效目标，督促培训机构保质保量完成任务。</w:t>
      </w:r>
    </w:p>
    <w:p w14:paraId="48E062EC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强化精准调训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Batang" w:eastAsia="仿宋_GB2312" w:cs="仿宋_GB2312"/>
          <w:sz w:val="32"/>
          <w:szCs w:val="32"/>
        </w:rPr>
        <w:t>主动加强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与培训对象管理</w:t>
      </w:r>
      <w:r>
        <w:rPr>
          <w:rFonts w:hint="eastAsia" w:ascii="仿宋_GB2312" w:hAnsi="Batang" w:eastAsia="仿宋_GB2312" w:cs="仿宋_GB2312"/>
          <w:sz w:val="32"/>
          <w:szCs w:val="32"/>
        </w:rPr>
        <w:t>部门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Batang" w:eastAsia="仿宋_GB2312" w:cs="仿宋_GB2312"/>
          <w:sz w:val="32"/>
          <w:szCs w:val="32"/>
        </w:rPr>
        <w:t>对接联系，发挥主管部门精准调训优势，精心设计培训方案，根据不同产业不同培训对象，提供“订单式”“点餐式”差异化培训方案，提升高素质农民培训的精准实效。</w:t>
      </w:r>
    </w:p>
    <w:p w14:paraId="59EC6A78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（三）严格过程管理。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Batang" w:eastAsia="仿宋_GB2312" w:cs="仿宋_GB2312"/>
          <w:sz w:val="32"/>
          <w:szCs w:val="32"/>
        </w:rPr>
        <w:t>农业农村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Batang" w:eastAsia="仿宋_GB2312" w:cs="仿宋_GB2312"/>
          <w:sz w:val="32"/>
          <w:szCs w:val="32"/>
        </w:rPr>
        <w:t>会同培育机构严格审核开班计划、培训方案和培训对象；各培训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机构</w:t>
      </w:r>
      <w:r>
        <w:rPr>
          <w:rFonts w:hint="eastAsia" w:ascii="仿宋_GB2312" w:hAnsi="Batang" w:eastAsia="仿宋_GB2312" w:cs="仿宋_GB2312"/>
          <w:sz w:val="32"/>
          <w:szCs w:val="32"/>
        </w:rPr>
        <w:t>要选配好班主任，规范班级管理制度，保证培训工作顺畅有序。定期督导培训进度，发现问题要及时纠正，必要时停课整改，切实提高培训的质量和效果。</w:t>
      </w:r>
    </w:p>
    <w:p w14:paraId="28DF58FD">
      <w:pPr>
        <w:spacing w:line="580" w:lineRule="exact"/>
        <w:ind w:firstLine="643" w:firstLineChars="200"/>
        <w:rPr>
          <w:rFonts w:hint="eastAsia" w:ascii="仿宋_GB2312" w:hAnsi="Batang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（四）强化宣传引导。</w:t>
      </w:r>
      <w:r>
        <w:rPr>
          <w:rFonts w:hint="eastAsia" w:ascii="仿宋_GB2312" w:hAnsi="Batang" w:eastAsia="仿宋_GB2312" w:cs="仿宋_GB2312"/>
          <w:sz w:val="32"/>
          <w:szCs w:val="32"/>
        </w:rPr>
        <w:t>注重对高素质农民培育工作成功模式总结推广，组织开展优秀典型挖掘宣传，树立示范标杆，营造良好社会氛围。</w:t>
      </w:r>
      <w:r>
        <w:rPr>
          <w:rFonts w:hint="eastAsia" w:ascii="仿宋_GB2312" w:hAnsi="Batang" w:eastAsia="仿宋_GB2312" w:cs="仿宋_GB2312"/>
          <w:sz w:val="32"/>
          <w:szCs w:val="32"/>
          <w:lang w:val="en-US" w:eastAsia="zh-CN"/>
        </w:rPr>
        <w:t>鼓励有条件的地区</w:t>
      </w:r>
      <w:r>
        <w:rPr>
          <w:rFonts w:hint="eastAsia" w:ascii="仿宋_GB2312" w:hAnsi="Batang" w:eastAsia="仿宋_GB2312" w:cs="仿宋_GB2312"/>
          <w:sz w:val="32"/>
          <w:szCs w:val="32"/>
        </w:rPr>
        <w:t>搭建交流展示平台，强化示范引领，充分发挥高素质农民辐射带动作用。</w:t>
      </w:r>
    </w:p>
    <w:p w14:paraId="6DE1AD52">
      <w:pPr>
        <w:widowControl/>
        <w:spacing w:line="5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</w:p>
    <w:p w14:paraId="5E80B005">
      <w:pPr>
        <w:widowControl/>
        <w:spacing w:line="580" w:lineRule="exact"/>
        <w:ind w:firstLine="640" w:firstLineChars="200"/>
        <w:rPr>
          <w:rFonts w:ascii="仿宋_GB2312" w:eastAsia="仿宋_GB2312" w:cs="宋体"/>
          <w:kern w:val="0"/>
          <w:sz w:val="32"/>
          <w:szCs w:val="32"/>
        </w:rPr>
      </w:pPr>
    </w:p>
    <w:p w14:paraId="10FF6DFF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 w14:paraId="729B8B66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 w14:paraId="6958ECC3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 w14:paraId="0B07624B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 w14:paraId="0187AFA7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 w14:paraId="7983F3AE">
      <w:pPr>
        <w:widowControl/>
        <w:spacing w:line="580" w:lineRule="exac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附表：</w:t>
      </w:r>
    </w:p>
    <w:p w14:paraId="1A7700BE">
      <w:pPr>
        <w:widowControl/>
        <w:spacing w:line="580" w:lineRule="exact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三元区202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年高素质农民培训（省级资金）计划安排表</w:t>
      </w:r>
    </w:p>
    <w:p w14:paraId="5CEF56CF">
      <w:pPr>
        <w:widowControl/>
        <w:spacing w:line="580" w:lineRule="exact"/>
        <w:ind w:firstLine="640" w:firstLineChars="200"/>
        <w:jc w:val="center"/>
        <w:rPr>
          <w:rFonts w:hint="eastAsia" w:ascii="仿宋_GB2312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各乡镇参训学员数量根据实际情况调整</w:t>
      </w:r>
      <w:r>
        <w:rPr>
          <w:rFonts w:hint="eastAsia" w:ascii="仿宋_GB2312" w:eastAsia="仿宋_GB2312" w:cs="宋体"/>
          <w:kern w:val="0"/>
          <w:sz w:val="32"/>
          <w:szCs w:val="32"/>
          <w:lang w:eastAsia="zh-CN"/>
        </w:rPr>
        <w:t>）</w:t>
      </w:r>
    </w:p>
    <w:tbl>
      <w:tblPr>
        <w:tblStyle w:val="4"/>
        <w:tblW w:w="10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564"/>
        <w:gridCol w:w="1418"/>
        <w:gridCol w:w="1134"/>
        <w:gridCol w:w="2106"/>
        <w:gridCol w:w="1579"/>
      </w:tblGrid>
      <w:tr w14:paraId="3274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Align w:val="center"/>
          </w:tcPr>
          <w:p w14:paraId="10CACF1A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培训类型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A6D0988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乡镇</w:t>
            </w:r>
          </w:p>
        </w:tc>
        <w:tc>
          <w:tcPr>
            <w:tcW w:w="1418" w:type="dxa"/>
            <w:vAlign w:val="center"/>
          </w:tcPr>
          <w:p w14:paraId="5DCA96FD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  <w:lang w:val="en-US" w:eastAsia="zh-CN"/>
              </w:rPr>
              <w:t>遴选推荐学员任务数</w:t>
            </w:r>
          </w:p>
        </w:tc>
        <w:tc>
          <w:tcPr>
            <w:tcW w:w="1134" w:type="dxa"/>
            <w:vAlign w:val="center"/>
          </w:tcPr>
          <w:p w14:paraId="2EE502B0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培训天数</w:t>
            </w:r>
          </w:p>
        </w:tc>
        <w:tc>
          <w:tcPr>
            <w:tcW w:w="2106" w:type="dxa"/>
          </w:tcPr>
          <w:p w14:paraId="7D54BD08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补助标准</w:t>
            </w:r>
          </w:p>
          <w:p w14:paraId="43855A1F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（人/天/元）</w:t>
            </w:r>
          </w:p>
        </w:tc>
        <w:tc>
          <w:tcPr>
            <w:tcW w:w="1579" w:type="dxa"/>
            <w:vAlign w:val="center"/>
          </w:tcPr>
          <w:p w14:paraId="0A155E43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资金安排</w:t>
            </w:r>
          </w:p>
          <w:p w14:paraId="3E3BC2AC">
            <w:pPr>
              <w:widowControl/>
              <w:spacing w:line="580" w:lineRule="exact"/>
              <w:jc w:val="center"/>
              <w:rPr>
                <w:rFonts w:ascii="仿宋_GB2312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kern w:val="0"/>
                <w:sz w:val="32"/>
                <w:szCs w:val="32"/>
              </w:rPr>
              <w:t>（万元）</w:t>
            </w:r>
          </w:p>
        </w:tc>
      </w:tr>
      <w:tr w14:paraId="59F9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restart"/>
            <w:vAlign w:val="center"/>
          </w:tcPr>
          <w:p w14:paraId="4C5BF19B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</w:rPr>
              <w:t>果树</w:t>
            </w: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新农人”培训班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7CA1F98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陈大镇</w:t>
            </w:r>
          </w:p>
        </w:tc>
        <w:tc>
          <w:tcPr>
            <w:tcW w:w="1418" w:type="dxa"/>
            <w:vAlign w:val="center"/>
          </w:tcPr>
          <w:p w14:paraId="7C4E9596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14:paraId="4CC9AE83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06" w:type="dxa"/>
            <w:vMerge w:val="restart"/>
            <w:vAlign w:val="center"/>
          </w:tcPr>
          <w:p w14:paraId="53155196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333.33</w:t>
            </w:r>
          </w:p>
        </w:tc>
        <w:tc>
          <w:tcPr>
            <w:tcW w:w="1579" w:type="dxa"/>
            <w:vMerge w:val="restart"/>
            <w:vAlign w:val="center"/>
          </w:tcPr>
          <w:p w14:paraId="39F59EA4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</w:tr>
      <w:tr w14:paraId="4978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center"/>
          </w:tcPr>
          <w:p w14:paraId="57241537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32341539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洋溪镇</w:t>
            </w:r>
          </w:p>
        </w:tc>
        <w:tc>
          <w:tcPr>
            <w:tcW w:w="1418" w:type="dxa"/>
            <w:vAlign w:val="center"/>
          </w:tcPr>
          <w:p w14:paraId="10CE927A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134" w:type="dxa"/>
            <w:vMerge w:val="continue"/>
            <w:vAlign w:val="center"/>
          </w:tcPr>
          <w:p w14:paraId="1BB22816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340B7424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355842B6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6DC3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center"/>
          </w:tcPr>
          <w:p w14:paraId="5D481897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3EBD37FC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莘口镇</w:t>
            </w:r>
          </w:p>
        </w:tc>
        <w:tc>
          <w:tcPr>
            <w:tcW w:w="1418" w:type="dxa"/>
            <w:vAlign w:val="center"/>
          </w:tcPr>
          <w:p w14:paraId="05C7CCB1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134" w:type="dxa"/>
            <w:vMerge w:val="continue"/>
            <w:vAlign w:val="center"/>
          </w:tcPr>
          <w:p w14:paraId="6E6A9313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06D7E642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6042C2D2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3801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center"/>
          </w:tcPr>
          <w:p w14:paraId="68EEEEBA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2E62284A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岩前镇</w:t>
            </w:r>
          </w:p>
        </w:tc>
        <w:tc>
          <w:tcPr>
            <w:tcW w:w="1418" w:type="dxa"/>
            <w:vAlign w:val="center"/>
          </w:tcPr>
          <w:p w14:paraId="47B76187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34" w:type="dxa"/>
            <w:vMerge w:val="continue"/>
            <w:vAlign w:val="center"/>
          </w:tcPr>
          <w:p w14:paraId="0480D21B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75DB0CE3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625EA782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B5E7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center"/>
          </w:tcPr>
          <w:p w14:paraId="6ED9C8D0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33DB6AD6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中村乡</w:t>
            </w:r>
          </w:p>
        </w:tc>
        <w:tc>
          <w:tcPr>
            <w:tcW w:w="1418" w:type="dxa"/>
            <w:vAlign w:val="center"/>
          </w:tcPr>
          <w:p w14:paraId="346F70C7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134" w:type="dxa"/>
            <w:vMerge w:val="continue"/>
            <w:vAlign w:val="center"/>
          </w:tcPr>
          <w:p w14:paraId="452F49F8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321E0318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37517CE3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BFB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center"/>
          </w:tcPr>
          <w:p w14:paraId="13521870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044B362F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列东街道</w:t>
            </w:r>
          </w:p>
        </w:tc>
        <w:tc>
          <w:tcPr>
            <w:tcW w:w="1418" w:type="dxa"/>
            <w:vAlign w:val="center"/>
          </w:tcPr>
          <w:p w14:paraId="093CAA01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34" w:type="dxa"/>
            <w:vMerge w:val="continue"/>
            <w:vAlign w:val="center"/>
          </w:tcPr>
          <w:p w14:paraId="3F7D8C99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5DC35DB8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6636B6BE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205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Align w:val="center"/>
          </w:tcPr>
          <w:p w14:paraId="1E89A2E5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2573661B">
            <w:pPr>
              <w:widowControl/>
              <w:spacing w:line="580" w:lineRule="exact"/>
              <w:jc w:val="center"/>
              <w:rPr>
                <w:rFonts w:hint="eastAsia" w:ascii="仿宋_GB2312" w:hAnsi="Calibri" w:eastAsia="仿宋_GB2312" w:cs="宋体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18" w:type="dxa"/>
            <w:vAlign w:val="center"/>
          </w:tcPr>
          <w:p w14:paraId="6BFBEA75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100人</w:t>
            </w:r>
          </w:p>
        </w:tc>
        <w:tc>
          <w:tcPr>
            <w:tcW w:w="1134" w:type="dxa"/>
            <w:vAlign w:val="center"/>
          </w:tcPr>
          <w:p w14:paraId="4F8529AF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06" w:type="dxa"/>
            <w:vAlign w:val="center"/>
          </w:tcPr>
          <w:p w14:paraId="388371AD">
            <w:pPr>
              <w:widowControl/>
              <w:spacing w:line="580" w:lineRule="exact"/>
              <w:jc w:val="center"/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vAlign w:val="center"/>
          </w:tcPr>
          <w:p w14:paraId="6F094311">
            <w:pPr>
              <w:widowControl/>
              <w:spacing w:line="580" w:lineRule="exact"/>
              <w:jc w:val="center"/>
              <w:rPr>
                <w:rFonts w:hint="default" w:ascii="仿宋_GB2312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</w:tr>
    </w:tbl>
    <w:p w14:paraId="314B867F">
      <w:pPr>
        <w:rPr>
          <w:rFonts w:ascii="仿宋_GB2312" w:eastAsia="仿宋_GB2312" w:cs="Times New Roman"/>
          <w:sz w:val="32"/>
          <w:szCs w:val="32"/>
        </w:rPr>
      </w:pPr>
    </w:p>
    <w:p w14:paraId="4277492D"/>
    <w:sectPr>
      <w:headerReference r:id="rId5" w:type="default"/>
      <w:footerReference r:id="rId6" w:type="default"/>
      <w:pgSz w:w="11906" w:h="16838"/>
      <w:pgMar w:top="2098" w:right="1531" w:bottom="1985" w:left="1531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A1EB5">
    <w:pPr>
      <w:pStyle w:val="2"/>
      <w:framePr w:wrap="around" w:vAnchor="text" w:hAnchor="margin" w:xAlign="inside" w:y="1"/>
      <w:rPr>
        <w:rStyle w:val="6"/>
        <w:rFonts w:ascii="宋体" w:hAnsi="宋体" w:cs="宋体"/>
        <w:sz w:val="30"/>
        <w:szCs w:val="30"/>
      </w:rPr>
    </w:pPr>
    <w:r>
      <w:rPr>
        <w:rStyle w:val="6"/>
        <w:rFonts w:ascii="宋体" w:hAnsi="宋体" w:cs="宋体"/>
        <w:sz w:val="30"/>
        <w:szCs w:val="30"/>
      </w:rPr>
      <w:t xml:space="preserve">— </w:t>
    </w:r>
    <w:r>
      <w:rPr>
        <w:rStyle w:val="6"/>
        <w:rFonts w:ascii="宋体" w:hAnsi="宋体" w:cs="宋体"/>
        <w:sz w:val="30"/>
        <w:szCs w:val="30"/>
      </w:rPr>
      <w:fldChar w:fldCharType="begin"/>
    </w:r>
    <w:r>
      <w:rPr>
        <w:rStyle w:val="6"/>
        <w:rFonts w:ascii="宋体" w:hAnsi="宋体" w:cs="宋体"/>
        <w:sz w:val="30"/>
        <w:szCs w:val="30"/>
      </w:rPr>
      <w:instrText xml:space="preserve">PAGE  </w:instrText>
    </w:r>
    <w:r>
      <w:rPr>
        <w:rStyle w:val="6"/>
        <w:rFonts w:ascii="宋体" w:hAnsi="宋体" w:cs="宋体"/>
        <w:sz w:val="30"/>
        <w:szCs w:val="30"/>
      </w:rPr>
      <w:fldChar w:fldCharType="separate"/>
    </w:r>
    <w:r>
      <w:rPr>
        <w:rStyle w:val="6"/>
        <w:rFonts w:ascii="宋体" w:hAnsi="宋体" w:cs="宋体"/>
        <w:sz w:val="30"/>
        <w:szCs w:val="30"/>
      </w:rPr>
      <w:t>2</w:t>
    </w:r>
    <w:r>
      <w:rPr>
        <w:rStyle w:val="6"/>
        <w:rFonts w:ascii="宋体" w:hAnsi="宋体" w:cs="宋体"/>
        <w:sz w:val="30"/>
        <w:szCs w:val="30"/>
      </w:rPr>
      <w:fldChar w:fldCharType="end"/>
    </w:r>
    <w:r>
      <w:rPr>
        <w:rStyle w:val="6"/>
        <w:rFonts w:ascii="宋体" w:hAnsi="宋体" w:cs="宋体"/>
        <w:sz w:val="30"/>
        <w:szCs w:val="30"/>
      </w:rPr>
      <w:t xml:space="preserve"> — </w:t>
    </w:r>
  </w:p>
  <w:p w14:paraId="03899C82">
    <w:pPr>
      <w:pStyle w:val="2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3336E">
    <w:pPr>
      <w:pStyle w:val="3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5A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2026-07-02T00:35:35Z</dcterms:created>
  <dc:creator>fjsmlenovo</dc:creator>
  <cp:lastModifiedBy>WPS_1665991341</cp:lastModifiedBy>
  <dcterms:modified xsi:type="dcterms:W3CDTF">2026-07-02T00:36:30Z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eyJoZGlkIjoiN2MyNGE2OGM5ODE4ZGNkMTE5OWE3ZGU5OWU1MGFlOGUiLCJ1c2VySWQiOiIxNDI4NjM2MDU3In0=</vt:lpwstr>
  </property>
  <property fmtid="{D5CDD505-2E9C-101B-9397-08002B2CF9AE}" pid="4" name="ICV">
    <vt:lpwstr>61DD6216EF784147959EF495D6D31CEC_12</vt:lpwstr>
  </property>
</Properties>
</file>