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Ind w:w="0" w:type="dxa"/>
        <w:tblLayout w:type="autofit"/>
        <w:tblCellMar>
          <w:top w:w="0" w:type="dxa"/>
          <w:left w:w="28" w:type="dxa"/>
          <w:bottom w:w="0" w:type="dxa"/>
          <w:right w:w="28" w:type="dxa"/>
        </w:tblCellMar>
      </w:tblPr>
      <w:tblGrid>
        <w:gridCol w:w="8900"/>
      </w:tblGrid>
      <w:tr>
        <w:tblPrEx>
          <w:tblCellMar>
            <w:top w:w="0" w:type="dxa"/>
            <w:left w:w="28" w:type="dxa"/>
            <w:bottom w:w="0" w:type="dxa"/>
            <w:right w:w="28" w:type="dxa"/>
          </w:tblCellMar>
        </w:tblPrEx>
        <w:trPr>
          <w:trHeight w:val="454" w:hRule="exact"/>
        </w:trPr>
        <w:tc>
          <w:tcPr>
            <w:tcW w:w="5000" w:type="pct"/>
          </w:tcPr>
          <w:p>
            <w:pPr>
              <w:adjustRightInd w:val="0"/>
              <w:snapToGrid w:val="0"/>
              <w:spacing w:before="100" w:beforeAutospacing="1" w:after="100" w:afterAutospacing="1"/>
              <w:ind w:right="496" w:rightChars="157"/>
              <w:textAlignment w:val="bottom"/>
              <w:rPr>
                <w:rFonts w:ascii="黑体" w:hAnsi="黑体" w:eastAsia="黑体"/>
              </w:rPr>
            </w:pPr>
            <w:bookmarkStart w:id="0" w:name="fhj"/>
            <w:bookmarkEnd w:id="0"/>
          </w:p>
        </w:tc>
      </w:tr>
      <w:tr>
        <w:tblPrEx>
          <w:tblCellMar>
            <w:top w:w="0" w:type="dxa"/>
            <w:left w:w="28" w:type="dxa"/>
            <w:bottom w:w="0" w:type="dxa"/>
            <w:right w:w="28" w:type="dxa"/>
          </w:tblCellMar>
        </w:tblPrEx>
        <w:trPr>
          <w:trHeight w:val="1361" w:hRule="exact"/>
        </w:trPr>
        <w:tc>
          <w:tcPr>
            <w:tcW w:w="5000" w:type="pct"/>
            <w:vAlign w:val="center"/>
          </w:tcPr>
          <w:p>
            <w:pPr>
              <w:adjustRightInd w:val="0"/>
              <w:snapToGrid w:val="0"/>
              <w:spacing w:before="100" w:beforeAutospacing="1" w:after="100" w:afterAutospacing="1"/>
              <w:ind w:right="496" w:rightChars="157"/>
              <w:textAlignment w:val="bottom"/>
              <w:rPr>
                <w:rFonts w:eastAsia="黑体"/>
              </w:rPr>
            </w:pPr>
          </w:p>
        </w:tc>
      </w:tr>
      <w:tr>
        <w:tblPrEx>
          <w:tblCellMar>
            <w:top w:w="0" w:type="dxa"/>
            <w:left w:w="28" w:type="dxa"/>
            <w:bottom w:w="0" w:type="dxa"/>
            <w:right w:w="28" w:type="dxa"/>
          </w:tblCellMar>
        </w:tblPrEx>
        <w:trPr>
          <w:trHeight w:val="1361" w:hRule="exact"/>
        </w:trPr>
        <w:tc>
          <w:tcPr>
            <w:tcW w:w="5000" w:type="pct"/>
            <w:vAlign w:val="center"/>
          </w:tcPr>
          <w:p>
            <w:pPr>
              <w:snapToGrid w:val="0"/>
              <w:spacing w:before="100" w:beforeAutospacing="1" w:after="100" w:afterAutospacing="1"/>
              <w:jc w:val="center"/>
              <w:textAlignment w:val="bottom"/>
              <w:rPr>
                <w:rFonts w:ascii="方正小标宋简体" w:eastAsia="方正小标宋简体"/>
                <w:b/>
                <w:bCs/>
                <w:sz w:val="84"/>
                <w:szCs w:val="84"/>
              </w:rPr>
            </w:pPr>
            <w:bookmarkStart w:id="1" w:name="fhead"/>
            <w:r>
              <w:rPr>
                <w:rFonts w:hint="eastAsia" w:ascii="方正小标宋简体" w:eastAsia="方正小标宋简体" w:cs="宋体"/>
                <w:b/>
                <w:bCs/>
                <w:color w:val="FF0000"/>
                <w:spacing w:val="-24"/>
                <w:sz w:val="84"/>
                <w:szCs w:val="84"/>
              </w:rPr>
              <w:t>三明市三元区财政局文件</w:t>
            </w:r>
            <w:bookmarkEnd w:id="1"/>
          </w:p>
        </w:tc>
      </w:tr>
      <w:tr>
        <w:tblPrEx>
          <w:tblCellMar>
            <w:top w:w="0" w:type="dxa"/>
            <w:left w:w="28" w:type="dxa"/>
            <w:bottom w:w="0" w:type="dxa"/>
            <w:right w:w="28" w:type="dxa"/>
          </w:tblCellMar>
        </w:tblPrEx>
        <w:trPr>
          <w:trHeight w:val="630" w:hRule="exact"/>
        </w:trPr>
        <w:tc>
          <w:tcPr>
            <w:tcW w:w="5000" w:type="pct"/>
            <w:vAlign w:val="bottom"/>
          </w:tcPr>
          <w:p>
            <w:pPr>
              <w:snapToGrid w:val="0"/>
              <w:spacing w:before="120"/>
              <w:ind w:right="339" w:firstLine="632" w:firstLineChars="200"/>
              <w:jc w:val="center"/>
              <w:textAlignment w:val="bottom"/>
              <w:rPr>
                <w:rFonts w:ascii="仿宋_GB2312" w:hAnsi="仿宋"/>
              </w:rPr>
            </w:pPr>
            <w:bookmarkStart w:id="2" w:name="fwh"/>
            <w:bookmarkEnd w:id="2"/>
            <w:r>
              <w:rPr>
                <w:rFonts w:hint="eastAsia" w:ascii="仿宋_GB2312" w:hAnsi="仿宋"/>
              </w:rPr>
              <w:t>元财办〔2022〕4号</w:t>
            </w:r>
          </w:p>
        </w:tc>
      </w:tr>
      <w:tr>
        <w:tblPrEx>
          <w:tblCellMar>
            <w:top w:w="0" w:type="dxa"/>
            <w:left w:w="28" w:type="dxa"/>
            <w:bottom w:w="0" w:type="dxa"/>
            <w:right w:w="28" w:type="dxa"/>
          </w:tblCellMar>
        </w:tblPrEx>
        <w:trPr>
          <w:trHeight w:val="28" w:hRule="exact"/>
        </w:trPr>
        <w:tc>
          <w:tcPr>
            <w:tcW w:w="5000" w:type="pct"/>
            <w:vAlign w:val="bottom"/>
          </w:tcPr>
          <w:p>
            <w:pPr>
              <w:snapToGrid w:val="0"/>
              <w:spacing w:before="120"/>
              <w:ind w:right="339" w:firstLine="632" w:firstLineChars="200"/>
              <w:jc w:val="center"/>
              <w:textAlignment w:val="bottom"/>
              <w:rPr>
                <w:rFonts w:ascii="仿宋" w:hAnsi="仿宋"/>
              </w:rPr>
            </w:pPr>
            <w:bookmarkStart w:id="3" w:name="fline"/>
            <w:r>
              <w:rPr>
                <w:rFonts w:hint="eastAsia" w:ascii="仿宋" w:hAnsi="仿宋"/>
              </w:rPr>
              <mc:AlternateContent>
                <mc:Choice Requires="wps">
                  <w:drawing>
                    <wp:anchor distT="0" distB="0" distL="114300" distR="114300" simplePos="0" relativeHeight="251659264" behindDoc="1" locked="0" layoutInCell="1" allowOverlap="1">
                      <wp:simplePos x="0" y="0"/>
                      <wp:positionH relativeFrom="page">
                        <wp:align>center</wp:align>
                      </wp:positionH>
                      <wp:positionV relativeFrom="paragraph">
                        <wp:posOffset>71755</wp:posOffset>
                      </wp:positionV>
                      <wp:extent cx="5601335" cy="0"/>
                      <wp:effectExtent l="0" t="19050" r="18415" b="19050"/>
                      <wp:wrapTight wrapText="bothSides">
                        <wp:wrapPolygon>
                          <wp:start x="0" y="0"/>
                          <wp:lineTo x="0" y="0"/>
                          <wp:lineTo x="21524" y="0"/>
                          <wp:lineTo x="21524" y="0"/>
                          <wp:lineTo x="0" y="0"/>
                        </wp:wrapPolygon>
                      </wp:wrapTight>
                      <wp:docPr id="1" name="直接连接符 1"/>
                      <wp:cNvGraphicFramePr/>
                      <a:graphic xmlns:a="http://schemas.openxmlformats.org/drawingml/2006/main">
                        <a:graphicData uri="http://schemas.microsoft.com/office/word/2010/wordprocessingShape">
                          <wps:wsp>
                            <wps:cNvCnPr/>
                            <wps:spPr>
                              <a:xfrm>
                                <a:off x="0" y="0"/>
                                <a:ext cx="5601335" cy="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top:5.65pt;height:0pt;width:441.05pt;mso-position-horizontal:center;mso-position-horizontal-relative:page;mso-wrap-distance-left:9pt;mso-wrap-distance-right:9pt;z-index:-251657216;mso-width-relative:page;mso-height-relative:page;" filled="f" stroked="t" coordsize="21600,21600" wrapcoords="0 0 0 0 21524 0 21524 0 0 0" o:gfxdata="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ZeLM9cAAAAGAQAADwAAAAAAAAABACAAAAAiAAAAZHJzL2Rvd25yZXYueG1sUEsBAhQAFAAA&#10;AAgAh07iQKjtq+bwAQAA2QMAAA4AAAAAAAAAAQAgAAAAJgEAAGRycy9lMm9Eb2MueG1sUEsFBgAA&#10;AAAGAAYAWQEAAIgFAAAAAA==&#10;">
                      <v:fill on="f" focussize="0,0"/>
                      <v:stroke weight="3pt" color="#FF0000" joinstyle="round"/>
                      <v:imagedata o:title=""/>
                      <o:lock v:ext="edit" aspectratio="f"/>
                      <w10:wrap type="tight"/>
                    </v:line>
                  </w:pict>
                </mc:Fallback>
              </mc:AlternateContent>
            </w:r>
            <w:bookmarkEnd w:id="3"/>
          </w:p>
        </w:tc>
      </w:tr>
    </w:tbl>
    <w:p>
      <w:pPr>
        <w:snapToGrid w:val="0"/>
        <w:spacing w:line="600" w:lineRule="exact"/>
        <w:ind w:right="158"/>
        <w:jc w:val="right"/>
        <w:rPr>
          <w:rFonts w:ascii="仿宋_GB2312" w:hAnsi="仿宋_GB2312" w:cs="仿宋_GB2312"/>
          <w:color w:val="000000" w:themeColor="text1"/>
          <w14:textFill>
            <w14:solidFill>
              <w14:schemeClr w14:val="tx1"/>
            </w14:solidFill>
          </w14:textFill>
        </w:rPr>
      </w:pPr>
    </w:p>
    <w:p>
      <w:pPr>
        <w:snapToGrid w:val="0"/>
        <w:spacing w:line="600" w:lineRule="exact"/>
        <w:ind w:right="158"/>
        <w:jc w:val="right"/>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办理结果：A</w:t>
      </w:r>
    </w:p>
    <w:p>
      <w:pPr>
        <w:rPr>
          <w:rFonts w:ascii="仿宋" w:hAnsi="仿宋"/>
        </w:rPr>
      </w:pPr>
    </w:p>
    <w:p>
      <w:pPr>
        <w:snapToGrid w:val="0"/>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三元区财政局关于区人大十届一次会议第0031号代表建议办理情况的答复</w:t>
      </w:r>
    </w:p>
    <w:p>
      <w:pPr>
        <w:rPr>
          <w:rFonts w:ascii="仿宋" w:hAnsi="仿宋"/>
        </w:rPr>
      </w:pPr>
    </w:p>
    <w:p>
      <w:pP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叶雯代表：</w:t>
      </w:r>
    </w:p>
    <w:p>
      <w:pPr>
        <w:ind w:firstLine="631"/>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 xml:space="preserve">您提出的关于《进一步加强东牙溪饮用水源保护》的几点建议收悉，现将办理情况答复如下： </w:t>
      </w:r>
      <w:bookmarkStart w:id="9" w:name="_GoBack"/>
      <w:bookmarkEnd w:id="9"/>
    </w:p>
    <w:p>
      <w:pPr>
        <w:ind w:firstLine="631"/>
        <w:rPr>
          <w:rFonts w:ascii="黑体" w:hAnsi="黑体" w:eastAsia="黑体" w:cs="仿宋_GB2312"/>
          <w:b/>
          <w:color w:val="000000" w:themeColor="text1"/>
          <w14:textFill>
            <w14:solidFill>
              <w14:schemeClr w14:val="tx1"/>
            </w14:solidFill>
          </w14:textFill>
        </w:rPr>
      </w:pPr>
      <w:r>
        <w:rPr>
          <w:rFonts w:hint="eastAsia" w:ascii="黑体" w:hAnsi="黑体" w:eastAsia="黑体" w:cs="仿宋_GB2312"/>
          <w:b/>
          <w:color w:val="000000" w:themeColor="text1"/>
          <w14:textFill>
            <w14:solidFill>
              <w14:schemeClr w14:val="tx1"/>
            </w14:solidFill>
          </w14:textFill>
        </w:rPr>
        <w:t>一、我区基本情况</w:t>
      </w:r>
    </w:p>
    <w:p>
      <w:pPr>
        <w:ind w:firstLine="631"/>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自2008年起，市政府建立饮用水源保护生态补偿机制，按照“三年一定”方式，每年安排水源保护专项资金250万元，用于饮用水源保护区项目建设及生态补偿。根据《三明市财政局 三明市环境保护局关于印发三明市区东牙溪饮用水源保护专项资金管理办法的通知》（明财建〔2016〕12号）文精神，该标准提高至400万元，其中财力补助200万元，项目建设资金190万元，绩效奖励10万元。2018年7月26日福建省第十三届人民代表大会常务委员会第四次会议批准《三明市东牙溪和薯沙溪水库饮用水水源保护条例》，进一步制定规范加强东牙溪和薯沙溪水库饮用水水源保护，防治水源污染，保障市区饮用水安全，推进生态文明建设要求。为中村乡实施水源保护提供了资金保障，中村乡通过外控污染源、内强治理能力、完善健全水源保护机制等措施，水源保护成效明显，目前东牙溪水库水质稳中趋优。</w:t>
      </w:r>
    </w:p>
    <w:p>
      <w:pPr>
        <w:ind w:firstLine="631"/>
        <w:rPr>
          <w:rFonts w:ascii="黑体" w:hAnsi="黑体" w:eastAsia="黑体" w:cs="仿宋_GB2312"/>
          <w:b/>
          <w:color w:val="000000" w:themeColor="text1"/>
          <w14:textFill>
            <w14:solidFill>
              <w14:schemeClr w14:val="tx1"/>
            </w14:solidFill>
          </w14:textFill>
        </w:rPr>
      </w:pPr>
      <w:r>
        <w:rPr>
          <w:rFonts w:hint="eastAsia" w:ascii="黑体" w:hAnsi="黑体" w:eastAsia="黑体" w:cs="仿宋_GB2312"/>
          <w:b/>
          <w:color w:val="000000" w:themeColor="text1"/>
          <w14:textFill>
            <w14:solidFill>
              <w14:schemeClr w14:val="tx1"/>
            </w14:solidFill>
          </w14:textFill>
        </w:rPr>
        <w:t>二、下一步工作计划</w:t>
      </w:r>
    </w:p>
    <w:p>
      <w:pPr>
        <w:ind w:firstLine="631"/>
        <w:rPr>
          <w:rFonts w:ascii="仿宋_GB2312" w:hAnsi="仿宋"/>
        </w:rPr>
      </w:pPr>
      <w:r>
        <w:rPr>
          <w:rFonts w:hint="eastAsia" w:ascii="仿宋_GB2312" w:hAnsi="仿宋_GB2312" w:cs="仿宋_GB2312"/>
          <w:color w:val="000000" w:themeColor="text1"/>
          <w14:textFill>
            <w14:solidFill>
              <w14:schemeClr w14:val="tx1"/>
            </w14:solidFill>
          </w14:textFill>
        </w:rPr>
        <w:t>下一步，我局将积极与市里沟通，加大争取东牙溪饮用水源地生态保护补偿资金力度，同时落实好低保对象、计生特殊家庭成员等参加城乡居民医保个人缴费部分由政府全额资助政策。</w:t>
      </w:r>
    </w:p>
    <w:p>
      <w:pPr>
        <w:ind w:firstLine="631"/>
      </w:pPr>
      <w:r>
        <w:rPr>
          <w:rFonts w:hint="eastAsia"/>
        </w:rPr>
        <w:t>区政府分管领导：洪彬</w:t>
      </w:r>
    </w:p>
    <w:p>
      <w:pPr>
        <w:ind w:firstLine="631"/>
      </w:pPr>
      <w:r>
        <w:rPr>
          <w:rFonts w:hint="eastAsia"/>
        </w:rPr>
        <w:t>主办单位领导：蔡俊斌</w:t>
      </w:r>
    </w:p>
    <w:p>
      <w:pPr>
        <w:ind w:firstLine="631"/>
      </w:pPr>
      <w:r>
        <w:rPr>
          <w:rFonts w:hint="eastAsia"/>
        </w:rPr>
        <w:t>单位联系人：曾欣</w:t>
      </w:r>
    </w:p>
    <w:p>
      <w:pPr>
        <w:ind w:firstLine="631"/>
      </w:pPr>
      <w:r>
        <w:rPr>
          <w:rFonts w:hint="eastAsia"/>
        </w:rPr>
        <w:t>联系电话：8337217</w:t>
      </w:r>
      <w:bookmarkStart w:id="4" w:name="ffj"/>
      <w:bookmarkEnd w:id="4"/>
    </w:p>
    <w:p>
      <w:pPr>
        <w:rPr>
          <w:rFonts w:ascii="仿宋" w:hAnsi="仿宋" w:eastAsia="仿宋" w:cs="仿宋"/>
        </w:rPr>
      </w:pPr>
      <w:bookmarkStart w:id="5" w:name="fyz"/>
      <w:bookmarkEnd w:id="5"/>
      <w:bookmarkStart w:id="6" w:name="ffz"/>
      <w:bookmarkEnd w:id="6"/>
      <w:bookmarkStart w:id="7" w:name="fqfrq"/>
      <w:bookmarkEnd w:id="7"/>
    </w:p>
    <w:tbl>
      <w:tblPr>
        <w:tblStyle w:val="6"/>
        <w:tblpPr w:leftFromText="180" w:rightFromText="180" w:horzAnchor="margin" w:tblpXSpec="center" w:tblpYSpec="bottom"/>
        <w:tblOverlap w:val="never"/>
        <w:tblW w:w="5000" w:type="pct"/>
        <w:tblInd w:w="0" w:type="dxa"/>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autofit"/>
        <w:tblCellMar>
          <w:top w:w="0" w:type="dxa"/>
          <w:left w:w="28" w:type="dxa"/>
          <w:bottom w:w="0" w:type="dxa"/>
          <w:right w:w="28" w:type="dxa"/>
        </w:tblCellMar>
      </w:tblPr>
      <w:tblGrid>
        <w:gridCol w:w="1289"/>
        <w:gridCol w:w="3161"/>
        <w:gridCol w:w="4450"/>
      </w:tblGrid>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28" w:type="dxa"/>
            <w:bottom w:w="0" w:type="dxa"/>
            <w:right w:w="28" w:type="dxa"/>
          </w:tblCellMar>
        </w:tblPrEx>
        <w:trPr>
          <w:trHeight w:val="567" w:hRule="atLeast"/>
        </w:trPr>
        <w:tc>
          <w:tcPr>
            <w:tcW w:w="724" w:type="pct"/>
            <w:vAlign w:val="center"/>
          </w:tcPr>
          <w:p>
            <w:pPr>
              <w:spacing w:after="100" w:afterAutospacing="1" w:line="460" w:lineRule="exact"/>
              <w:ind w:right="205" w:rightChars="65" w:firstLine="276" w:firstLineChars="100"/>
              <w:textAlignment w:val="bottom"/>
              <w:rPr>
                <w:rFonts w:ascii="仿宋_GB2312" w:hAnsi="仿宋"/>
                <w:sz w:val="28"/>
                <w:szCs w:val="28"/>
              </w:rPr>
            </w:pPr>
            <w:r>
              <w:rPr>
                <w:rFonts w:hint="eastAsia" w:ascii="仿宋_GB2312" w:hAnsi="仿宋" w:cs="仿宋_GB2312"/>
                <w:sz w:val="28"/>
                <w:szCs w:val="28"/>
              </w:rPr>
              <w:t>抄送：</w:t>
            </w:r>
            <w:r>
              <w:rPr>
                <w:rFonts w:hint="eastAsia" w:ascii="仿宋_GB2312" w:hAnsi="仿宋"/>
                <w:sz w:val="28"/>
                <w:szCs w:val="28"/>
              </w:rPr>
              <w:t xml:space="preserve"> </w:t>
            </w:r>
          </w:p>
        </w:tc>
        <w:tc>
          <w:tcPr>
            <w:tcW w:w="4276" w:type="pct"/>
            <w:gridSpan w:val="2"/>
            <w:vAlign w:val="center"/>
          </w:tcPr>
          <w:p>
            <w:pPr>
              <w:spacing w:after="100" w:afterAutospacing="1" w:line="460" w:lineRule="exact"/>
              <w:ind w:right="205" w:rightChars="65"/>
              <w:textAlignment w:val="bottom"/>
              <w:rPr>
                <w:rFonts w:ascii="仿宋_GB2312" w:hAnsi="仿宋"/>
                <w:sz w:val="28"/>
                <w:szCs w:val="28"/>
              </w:rPr>
            </w:pPr>
            <w:r>
              <w:rPr>
                <w:rFonts w:hint="eastAsia" w:ascii="仿宋_GB2312" w:hAnsi="仿宋"/>
                <w:sz w:val="28"/>
                <w:szCs w:val="28"/>
              </w:rPr>
              <w:t>区人大常委会人代室   区政府督查室</w:t>
            </w:r>
          </w:p>
        </w:tc>
      </w:tr>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28" w:type="dxa"/>
            <w:bottom w:w="0" w:type="dxa"/>
            <w:right w:w="28" w:type="dxa"/>
          </w:tblCellMar>
        </w:tblPrEx>
        <w:trPr>
          <w:trHeight w:val="510" w:hRule="atLeast"/>
        </w:trPr>
        <w:tc>
          <w:tcPr>
            <w:tcW w:w="2500" w:type="pct"/>
            <w:gridSpan w:val="2"/>
            <w:vAlign w:val="center"/>
          </w:tcPr>
          <w:p>
            <w:pPr>
              <w:spacing w:after="100" w:line="460" w:lineRule="exact"/>
              <w:ind w:right="205" w:rightChars="65" w:firstLine="276" w:firstLineChars="100"/>
              <w:rPr>
                <w:rFonts w:ascii="仿宋_GB2312" w:hAnsi="仿宋"/>
                <w:sz w:val="28"/>
              </w:rPr>
            </w:pPr>
            <w:r>
              <w:rPr>
                <w:rFonts w:hint="eastAsia" w:ascii="仿宋_GB2312" w:hAnsi="仿宋" w:cs="仿宋_GB2312"/>
                <w:sz w:val="28"/>
              </w:rPr>
              <w:t>三明市三元区财政局</w:t>
            </w:r>
          </w:p>
        </w:tc>
        <w:tc>
          <w:tcPr>
            <w:tcW w:w="2500" w:type="pct"/>
            <w:vAlign w:val="center"/>
          </w:tcPr>
          <w:p>
            <w:pPr>
              <w:wordWrap w:val="0"/>
              <w:spacing w:after="100" w:afterAutospacing="1" w:line="460" w:lineRule="exact"/>
              <w:ind w:right="205" w:rightChars="65" w:firstLine="1231" w:firstLineChars="446"/>
              <w:textAlignment w:val="bottom"/>
              <w:rPr>
                <w:rFonts w:ascii="仿宋_GB2312"/>
              </w:rPr>
            </w:pPr>
            <w:bookmarkStart w:id="8" w:name="fyfrq"/>
            <w:r>
              <w:rPr>
                <w:rFonts w:hint="eastAsia" w:ascii="仿宋_GB2312" w:hAnsi="仿宋" w:cs="仿宋_GB2312"/>
                <w:sz w:val="28"/>
              </w:rPr>
              <w:t>2022年5月12日</w:t>
            </w:r>
            <w:bookmarkEnd w:id="8"/>
            <w:r>
              <w:rPr>
                <w:rFonts w:hint="eastAsia" w:ascii="仿宋_GB2312" w:hAnsi="仿宋" w:cs="仿宋_GB2312"/>
                <w:sz w:val="28"/>
              </w:rPr>
              <w:t>印发</w:t>
            </w:r>
            <w:r>
              <w:rPr>
                <w:rFonts w:hint="eastAsia" w:ascii="仿宋_GB2312" w:cs="仿宋_GB2312"/>
              </w:rPr>
              <w:t xml:space="preserve">  </w:t>
            </w:r>
          </w:p>
        </w:tc>
      </w:tr>
    </w:tbl>
    <w:p>
      <w:pPr>
        <w:ind w:right="316"/>
        <w:jc w:val="right"/>
        <w:rPr>
          <w:rFonts w:ascii="仿宋_GB2312" w:hAnsi="仿宋"/>
        </w:rPr>
      </w:pPr>
      <w:r>
        <w:rPr>
          <w:rFonts w:hint="eastAsia" w:ascii="仿宋_GB2312" w:hAnsi="仿宋"/>
        </w:rPr>
        <w:t>三元区财政局</w:t>
      </w:r>
    </w:p>
    <w:p>
      <w:pPr>
        <w:jc w:val="right"/>
        <w:rPr>
          <w:rFonts w:ascii="仿宋" w:hAnsi="仿宋"/>
        </w:rPr>
      </w:pPr>
      <w:r>
        <w:rPr>
          <w:rFonts w:hint="eastAsia" w:ascii="仿宋" w:hAnsi="仿宋"/>
        </w:rPr>
        <w:t>2022年5月12日</w:t>
      </w:r>
    </w:p>
    <w:sectPr>
      <w:headerReference r:id="rId3" w:type="default"/>
      <w:footerReference r:id="rId5" w:type="default"/>
      <w:headerReference r:id="rId4" w:type="even"/>
      <w:footerReference r:id="rId6" w:type="even"/>
      <w:pgSz w:w="11906" w:h="16838"/>
      <w:pgMar w:top="2041" w:right="1474" w:bottom="1871" w:left="1588" w:header="851" w:footer="992" w:gutter="0"/>
      <w:cols w:space="720"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360"/>
      <w:jc w:val="right"/>
      <w:rPr>
        <w:rFonts w:ascii="宋体" w:hAnsi="宋体" w:eastAsia="宋体"/>
        <w:sz w:val="28"/>
        <w:szCs w:val="28"/>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 PAGE </w:instrText>
    </w:r>
    <w:r>
      <w:rPr>
        <w:rFonts w:ascii="宋体" w:hAnsi="宋体" w:eastAsia="宋体"/>
        <w:sz w:val="28"/>
        <w:szCs w:val="28"/>
      </w:rPr>
      <w:fldChar w:fldCharType="separate"/>
    </w:r>
    <w:r>
      <w:rPr>
        <w:rStyle w:val="8"/>
        <w:rFonts w:ascii="宋体" w:hAnsi="宋体" w:eastAsia="宋体"/>
        <w:sz w:val="28"/>
        <w:szCs w:val="28"/>
      </w:rPr>
      <w:t>2</w:t>
    </w:r>
    <w:r>
      <w:rPr>
        <w:rFonts w:ascii="宋体" w:hAnsi="宋体" w:eastAsia="宋体"/>
        <w:sz w:val="28"/>
        <w:szCs w:val="28"/>
      </w:rPr>
      <w:fldChar w:fldCharType="end"/>
    </w:r>
    <w:r>
      <w:rPr>
        <w:rStyle w:val="8"/>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rPr>
        <w:rFonts w:ascii="宋体" w:hAnsi="宋体" w:eastAsia="宋体"/>
        <w:sz w:val="28"/>
        <w:szCs w:val="28"/>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 PAGE </w:instrText>
    </w:r>
    <w:r>
      <w:rPr>
        <w:rFonts w:ascii="宋体" w:hAnsi="宋体" w:eastAsia="宋体"/>
        <w:sz w:val="28"/>
        <w:szCs w:val="28"/>
      </w:rPr>
      <w:fldChar w:fldCharType="separate"/>
    </w:r>
    <w:r>
      <w:rPr>
        <w:rStyle w:val="8"/>
        <w:rFonts w:ascii="宋体" w:hAnsi="宋体" w:eastAsia="宋体"/>
        <w:sz w:val="28"/>
        <w:szCs w:val="28"/>
      </w:rPr>
      <w:t>4</w:t>
    </w:r>
    <w:r>
      <w:rPr>
        <w:rFonts w:ascii="宋体" w:hAnsi="宋体" w:eastAsia="宋体"/>
        <w:sz w:val="28"/>
        <w:szCs w:val="28"/>
      </w:rPr>
      <w:fldChar w:fldCharType="end"/>
    </w:r>
    <w:r>
      <w:rPr>
        <w:rStyle w:val="8"/>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MTdkYWJkYzEzYmI3OTM3MjlmYjI5NjVkOGQzYWIifQ=="/>
  </w:docVars>
  <w:rsids>
    <w:rsidRoot w:val="00C50CCB"/>
    <w:rsid w:val="00165465"/>
    <w:rsid w:val="003B1710"/>
    <w:rsid w:val="00420C43"/>
    <w:rsid w:val="004630F3"/>
    <w:rsid w:val="004707D6"/>
    <w:rsid w:val="00564F33"/>
    <w:rsid w:val="00566892"/>
    <w:rsid w:val="005A6CE8"/>
    <w:rsid w:val="009B1367"/>
    <w:rsid w:val="00A9032D"/>
    <w:rsid w:val="00B4604D"/>
    <w:rsid w:val="00C50CCB"/>
    <w:rsid w:val="00DC67F9"/>
    <w:rsid w:val="00F114C8"/>
    <w:rsid w:val="2A3F4D92"/>
    <w:rsid w:val="481257B6"/>
    <w:rsid w:val="55D7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color w:val="000000"/>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Balloon Text"/>
    <w:basedOn w:val="1"/>
    <w:link w:val="11"/>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新正文"/>
    <w:basedOn w:val="2"/>
    <w:qFormat/>
    <w:uiPriority w:val="0"/>
    <w:pPr>
      <w:ind w:firstLine="200" w:firstLineChars="200"/>
    </w:pPr>
    <w:rPr>
      <w:rFonts w:ascii="仿宋_GB2312"/>
    </w:rPr>
  </w:style>
  <w:style w:type="character" w:customStyle="1" w:styleId="10">
    <w:name w:val="页眉 Char"/>
    <w:basedOn w:val="7"/>
    <w:link w:val="5"/>
    <w:uiPriority w:val="0"/>
    <w:rPr>
      <w:rFonts w:ascii="Calibri" w:hAnsi="Calibri" w:eastAsia="仿宋_GB2312" w:cs="Times New Roman"/>
      <w:color w:val="000000"/>
      <w:kern w:val="2"/>
      <w:sz w:val="18"/>
      <w:szCs w:val="18"/>
    </w:rPr>
  </w:style>
  <w:style w:type="character" w:customStyle="1" w:styleId="11">
    <w:name w:val="批注框文本 Char"/>
    <w:basedOn w:val="7"/>
    <w:link w:val="3"/>
    <w:uiPriority w:val="0"/>
    <w:rPr>
      <w:rFonts w:ascii="Calibri" w:hAnsi="Calibri" w:eastAsia="仿宋_GB2312" w:cs="Times New Roman"/>
      <w:color w:val="00000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628</Words>
  <Characters>668</Characters>
  <Lines>5</Lines>
  <Paragraphs>1</Paragraphs>
  <TotalTime>7</TotalTime>
  <ScaleCrop>false</ScaleCrop>
  <LinksUpToDate>false</LinksUpToDate>
  <CharactersWithSpaces>676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2022-05-12T08:32:00Z</dcterms:created>
  <dc:creator>Administrator</dc:creator>
  <cp:lastModifiedBy>Administrator</cp:lastModifiedBy>
  <cp:lastPrinted>2022-05-13T07:41:00Z</cp:lastPrinted>
  <dcterms:modified xsi:type="dcterms:W3CDTF">2022-07-07T02:11:30Z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D3F5FCA3457B41EE9AE70145F781968E</vt:lpwstr>
  </property>
</Properties>
</file>