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DF" w:rsidRDefault="00023FDF" w:rsidP="00023FDF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: </w:t>
      </w:r>
      <w:r>
        <w:rPr>
          <w:rFonts w:hint="eastAsia"/>
          <w:b/>
          <w:bCs/>
          <w:sz w:val="32"/>
          <w:szCs w:val="32"/>
        </w:rPr>
        <w:t>行政处罚信息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1226"/>
        <w:gridCol w:w="1419"/>
        <w:gridCol w:w="1249"/>
        <w:gridCol w:w="2619"/>
        <w:gridCol w:w="1088"/>
        <w:gridCol w:w="1717"/>
        <w:gridCol w:w="1919"/>
        <w:gridCol w:w="987"/>
        <w:gridCol w:w="1301"/>
      </w:tblGrid>
      <w:tr w:rsidR="00023FDF" w:rsidTr="005F48D0">
        <w:trPr>
          <w:trHeight w:val="17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行政处罚决定书文号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案件名称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违法企业名称或违法自然人姓名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违法企业组织机构代码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法定代表人姓名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主要违法事实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行政处罚的种类和依据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行政处罚的履行方式和期限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做出处罚的机关名称和日期</w:t>
            </w:r>
          </w:p>
        </w:tc>
      </w:tr>
      <w:tr w:rsidR="00023FDF" w:rsidTr="005F48D0">
        <w:trPr>
          <w:trHeight w:val="27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jc w:val="center"/>
              <w:rPr>
                <w:rFonts w:ascii="宋体" w:hAnsi="宋体" w:cs="宋体"/>
                <w:sz w:val="24"/>
              </w:rPr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监食罚〔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proofErr w:type="gramEnd"/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福建三明市欧派食品有限公司未按规定建立并遵守进货查验记录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制度案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三明市欧派食品有限公司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z w:val="28"/>
                <w:szCs w:val="28"/>
              </w:rPr>
              <w:t>9135040067653343X6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陈移芬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当事人未按规定建立并遵守进货查验记录制度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处罚种类：警告；处罚依据：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《中华人民共和国食品安全法》第一百二十六条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第一款第（三）项和第（十三）项</w:t>
            </w:r>
            <w:r>
              <w:rPr>
                <w:rFonts w:hint="eastAsia"/>
                <w:sz w:val="24"/>
                <w:szCs w:val="24"/>
              </w:rPr>
              <w:t>的规定。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责令改正，给予警告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三明市食品药品监督管理局三元分局</w:t>
            </w:r>
            <w:r>
              <w:t>201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</w:tr>
      <w:tr w:rsidR="00023FDF" w:rsidTr="005F48D0">
        <w:trPr>
          <w:trHeight w:val="29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jc w:val="center"/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监食罚〔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福建省麦尔食品集团有限公司未按规定建立并遵守进货查验记录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制度案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福建省麦尔食品集团有限公司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仿宋_GB2312" w:eastAsia="仿宋_GB2312" w:hAnsi="华文仿宋" w:cs="仿宋_GB2312" w:hint="eastAsia"/>
                <w:sz w:val="28"/>
                <w:szCs w:val="28"/>
              </w:rPr>
              <w:t>913504007960929150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陈飞鹏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当事人未按规定建立并遵守进货查验记录制度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处罚种类：警告；处罚依据：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《中华人民共和国食品安全法》第一百二十六条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第一款第（三）项的规定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责令改正，给予警告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F" w:rsidRDefault="00023FDF" w:rsidP="005F48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三明市食品药品监督管理局三元分局</w:t>
            </w:r>
            <w:r>
              <w:t>201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</w:tr>
    </w:tbl>
    <w:p w:rsidR="00B317F2" w:rsidRPr="00023FDF" w:rsidRDefault="00B317F2"/>
    <w:sectPr w:rsidR="00B317F2" w:rsidRPr="00023FDF" w:rsidSect="00023F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FDF"/>
    <w:rsid w:val="000056CD"/>
    <w:rsid w:val="00023FDF"/>
    <w:rsid w:val="0017624D"/>
    <w:rsid w:val="001A0223"/>
    <w:rsid w:val="001D21A7"/>
    <w:rsid w:val="00341B02"/>
    <w:rsid w:val="00375B03"/>
    <w:rsid w:val="00407DF7"/>
    <w:rsid w:val="00524F5F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D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2018-12-12T08:11:00Z</dcterms:created>
  <dcterms:modified xsi:type="dcterms:W3CDTF">2018-12-12T08:11:00Z</dcterms:modified>
</cp:coreProperties>
</file>