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bCs/>
          <w:sz w:val="36"/>
          <w:szCs w:val="36"/>
        </w:rPr>
      </w:pPr>
      <w:r>
        <w:rPr>
          <w:rFonts w:hint="eastAsia" w:ascii="方正小标宋简体" w:hAnsi="方正小标宋简体" w:eastAsia="方正小标宋简体"/>
          <w:bCs/>
          <w:sz w:val="36"/>
          <w:szCs w:val="36"/>
        </w:rPr>
        <w:t>三明市</w:t>
      </w:r>
      <w:r>
        <w:rPr>
          <w:rFonts w:hint="eastAsia" w:ascii="方正小标宋简体" w:hAnsi="方正小标宋简体" w:eastAsia="方正小标宋简体"/>
          <w:bCs/>
          <w:sz w:val="36"/>
          <w:szCs w:val="36"/>
          <w:lang w:eastAsia="zh-CN"/>
        </w:rPr>
        <w:t>岩前镇</w:t>
      </w:r>
      <w:r>
        <w:rPr>
          <w:rFonts w:hint="eastAsia" w:ascii="方正小标宋简体" w:hAnsi="方正小标宋简体" w:eastAsia="方正小标宋简体"/>
          <w:bCs/>
          <w:sz w:val="36"/>
          <w:szCs w:val="36"/>
        </w:rPr>
        <w:t>岩前村小湖坂周边地块</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微软雅黑" w:hAnsi="微软雅黑" w:eastAsia="微软雅黑"/>
          <w:b/>
          <w:sz w:val="36"/>
          <w:szCs w:val="36"/>
        </w:rPr>
      </w:pPr>
      <w:r>
        <w:rPr>
          <w:rFonts w:hint="eastAsia" w:ascii="方正小标宋简体" w:hAnsi="方正小标宋简体" w:eastAsia="方正小标宋简体"/>
          <w:bCs/>
          <w:sz w:val="36"/>
          <w:szCs w:val="36"/>
        </w:rPr>
        <w:t>土地征收成片开发方案</w:t>
      </w:r>
    </w:p>
    <w:p>
      <w:pPr>
        <w:jc w:val="center"/>
        <w:rPr>
          <w:rFonts w:hint="eastAsia" w:ascii="宋体" w:hAnsi="宋体" w:eastAsia="宋体"/>
          <w:b/>
          <w:sz w:val="30"/>
          <w:szCs w:val="30"/>
        </w:rPr>
      </w:pPr>
      <w:r>
        <w:rPr>
          <w:rFonts w:hint="eastAsia" w:ascii="宋体" w:hAnsi="宋体" w:eastAsia="宋体"/>
          <w:b/>
          <w:sz w:val="30"/>
          <w:szCs w:val="30"/>
        </w:rPr>
        <w:t>（</w:t>
      </w:r>
      <w:r>
        <w:rPr>
          <w:rFonts w:hint="eastAsia" w:ascii="宋体" w:hAnsi="宋体" w:eastAsia="宋体"/>
          <w:b/>
          <w:sz w:val="30"/>
          <w:szCs w:val="30"/>
          <w:lang w:eastAsia="zh-CN"/>
        </w:rPr>
        <w:t>草案</w:t>
      </w:r>
      <w:r>
        <w:rPr>
          <w:rFonts w:hint="eastAsia" w:ascii="宋体" w:hAnsi="宋体" w:eastAsia="宋体"/>
          <w:b/>
          <w:sz w:val="30"/>
          <w:szCs w:val="30"/>
        </w:rPr>
        <w:t>）</w:t>
      </w:r>
      <w:bookmarkStart w:id="0" w:name="_Toc62199294"/>
      <w:bookmarkStart w:id="1" w:name="_Toc63249159"/>
    </w:p>
    <w:p>
      <w:pPr>
        <w:jc w:val="center"/>
        <w:rPr>
          <w:rFonts w:hint="eastAsia" w:ascii="宋体" w:hAnsi="宋体" w:eastAsia="宋体"/>
          <w:b/>
          <w:sz w:val="32"/>
          <w:szCs w:val="32"/>
        </w:rPr>
      </w:pPr>
    </w:p>
    <w:p>
      <w:pPr>
        <w:keepNext w:val="0"/>
        <w:keepLines w:val="0"/>
        <w:pageBreakBefore w:val="0"/>
        <w:numPr>
          <w:ilvl w:val="0"/>
          <w:numId w:val="1"/>
        </w:numPr>
        <w:kinsoku/>
        <w:wordWrap/>
        <w:overflowPunct/>
        <w:topLinePunct w:val="0"/>
        <w:autoSpaceDE/>
        <w:autoSpaceDN/>
        <w:bidi w:val="0"/>
        <w:adjustRightInd/>
        <w:snapToGrid/>
        <w:spacing w:line="560" w:lineRule="exact"/>
        <w:ind w:left="-10" w:leftChars="0" w:firstLine="640" w:firstLineChars="0"/>
        <w:jc w:val="left"/>
        <w:textAlignment w:val="auto"/>
        <w:rPr>
          <w:rFonts w:hint="eastAsia" w:ascii="黑体" w:hAnsi="黑体" w:eastAsia="黑体"/>
          <w:sz w:val="32"/>
          <w:szCs w:val="32"/>
          <w:lang w:eastAsia="zh-CN"/>
        </w:rPr>
      </w:pPr>
      <w:r>
        <w:rPr>
          <w:rFonts w:hint="eastAsia" w:ascii="黑体" w:hAnsi="黑体" w:eastAsia="黑体"/>
          <w:sz w:val="32"/>
          <w:szCs w:val="32"/>
          <w:lang w:eastAsia="zh-CN"/>
        </w:rPr>
        <w:t>编制依据</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仿宋_GB2312"/>
          <w:sz w:val="32"/>
          <w:szCs w:val="32"/>
          <w:lang w:eastAsia="zh-CN"/>
        </w:rPr>
      </w:pPr>
      <w:r>
        <w:rPr>
          <w:rFonts w:hint="eastAsia" w:ascii="仿宋_GB2312" w:eastAsia="仿宋_GB2312"/>
          <w:sz w:val="32"/>
          <w:szCs w:val="32"/>
        </w:rPr>
        <w:t>依据三明市国民经济和社会发展规划、年度计划、《三 明市土地利用总体规划（2006-2020）》、《三明市城市总体规划（2010-2030）》，编制《三明市</w:t>
      </w:r>
      <w:r>
        <w:rPr>
          <w:rFonts w:hint="eastAsia" w:ascii="仿宋_GB2312" w:eastAsia="仿宋_GB2312"/>
          <w:sz w:val="32"/>
          <w:szCs w:val="32"/>
          <w:lang w:eastAsia="zh-CN"/>
        </w:rPr>
        <w:t>岩前镇岩前村小湖坂周边地块</w:t>
      </w:r>
      <w:r>
        <w:rPr>
          <w:rFonts w:hint="eastAsia" w:ascii="仿宋_GB2312" w:eastAsia="仿宋_GB2312"/>
          <w:sz w:val="32"/>
          <w:szCs w:val="32"/>
        </w:rPr>
        <w:t>土地征收成片开发方案》</w:t>
      </w:r>
      <w:r>
        <w:rPr>
          <w:rFonts w:hint="eastAsia" w:ascii="仿宋_GB2312" w:eastAsia="仿宋_GB2312"/>
          <w:sz w:val="32"/>
          <w:szCs w:val="32"/>
          <w:lang w:eastAsia="zh-CN"/>
        </w:rPr>
        <w:t>。</w:t>
      </w:r>
    </w:p>
    <w:bookmarkEnd w:id="0"/>
    <w:bookmarkEnd w:id="1"/>
    <w:p>
      <w:pPr>
        <w:keepNext w:val="0"/>
        <w:keepLines w:val="0"/>
        <w:pageBreakBefore w:val="0"/>
        <w:numPr>
          <w:ilvl w:val="0"/>
          <w:numId w:val="1"/>
        </w:numPr>
        <w:kinsoku/>
        <w:wordWrap/>
        <w:overflowPunct/>
        <w:topLinePunct w:val="0"/>
        <w:autoSpaceDE/>
        <w:autoSpaceDN/>
        <w:bidi w:val="0"/>
        <w:adjustRightInd/>
        <w:snapToGrid/>
        <w:spacing w:line="560" w:lineRule="exact"/>
        <w:ind w:left="-10" w:leftChars="0" w:firstLine="640" w:firstLineChars="0"/>
        <w:jc w:val="left"/>
        <w:textAlignment w:val="auto"/>
        <w:rPr>
          <w:rFonts w:hint="eastAsia" w:ascii="黑体" w:hAnsi="黑体" w:eastAsia="黑体"/>
          <w:sz w:val="32"/>
          <w:szCs w:val="32"/>
        </w:rPr>
      </w:pPr>
      <w:r>
        <w:rPr>
          <w:rFonts w:hint="eastAsia" w:ascii="黑体" w:hAnsi="黑体" w:eastAsia="黑体"/>
          <w:sz w:val="32"/>
          <w:szCs w:val="32"/>
        </w:rPr>
        <w:t>基本情况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三明市小湖坂周边地块土地征收成片开发项目位于三元区岩前镇，范围北至渔塘溪，南至东华山山脚，东至岩前大桥-三钢福利区道路，西至万寿路，总面积29.8663公顷</w:t>
      </w:r>
      <w:r>
        <w:rPr>
          <w:rFonts w:hint="eastAsia" w:ascii="仿宋_GB2312" w:eastAsia="仿宋_GB2312"/>
          <w:sz w:val="32"/>
          <w:szCs w:val="32"/>
          <w:lang w:eastAsia="zh-CN"/>
        </w:rPr>
        <w:t>（</w:t>
      </w:r>
      <w:r>
        <w:rPr>
          <w:rFonts w:hint="eastAsia" w:ascii="仿宋_GB2312" w:eastAsia="仿宋_GB2312"/>
          <w:sz w:val="32"/>
          <w:szCs w:val="32"/>
        </w:rPr>
        <w:t>详见位置示意图</w:t>
      </w:r>
      <w:r>
        <w:rPr>
          <w:rFonts w:hint="eastAsia" w:ascii="仿宋_GB2312" w:eastAsia="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 w:val="32"/>
          <w:szCs w:val="32"/>
        </w:rPr>
      </w:pPr>
      <w:bookmarkStart w:id="2" w:name="_Toc62199306"/>
      <w:bookmarkStart w:id="3" w:name="_Toc63249170"/>
      <w:r>
        <w:rPr>
          <w:rFonts w:hint="eastAsia" w:ascii="黑体" w:hAnsi="黑体" w:eastAsia="黑体"/>
          <w:sz w:val="32"/>
          <w:szCs w:val="32"/>
          <w:lang w:eastAsia="zh-CN"/>
        </w:rPr>
        <w:t>三</w:t>
      </w:r>
      <w:r>
        <w:rPr>
          <w:rFonts w:hint="eastAsia" w:ascii="黑体" w:hAnsi="黑体" w:eastAsia="黑体"/>
          <w:sz w:val="32"/>
          <w:szCs w:val="32"/>
        </w:rPr>
        <w:t>、成片开发的必要性</w:t>
      </w:r>
      <w:bookmarkEnd w:id="2"/>
      <w:bookmarkEnd w:id="3"/>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本项目是市委市政府贯彻习近平新时代中国特色社会主义思想的实践基地，实践习近平生态文明思想、践行科学发展观、促进文化自信的具体抓手，同时也是促进万寿岩文旅产业融合发展，推进岩前镇城乡统筹发展、乡村振兴的重要举措，有利于三明城市南部空间布局的优化和城市均衡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三明市岩前镇岩前村小湖坂周边地块土地征收成片开发方案符合《三明市国民经济和社会发展第十三个五年规划纲要》和《中共三明市委关于制定三明市国民经济和社会发展第十四个五年规划和二</w:t>
      </w:r>
      <w:r>
        <w:rPr>
          <w:rFonts w:hint="eastAsia" w:ascii="微软雅黑" w:hAnsi="微软雅黑" w:eastAsia="微软雅黑" w:cs="微软雅黑"/>
          <w:sz w:val="32"/>
          <w:szCs w:val="32"/>
        </w:rPr>
        <w:t>〇</w:t>
      </w:r>
      <w:r>
        <w:rPr>
          <w:rFonts w:hint="eastAsia" w:ascii="仿宋_GB2312" w:hAnsi="仿宋_GB2312" w:eastAsia="仿宋_GB2312" w:cs="仿宋_GB2312"/>
          <w:sz w:val="32"/>
          <w:szCs w:val="32"/>
        </w:rPr>
        <w:t>三五年远景目标的建议》</w:t>
      </w:r>
      <w:r>
        <w:rPr>
          <w:rFonts w:hint="eastAsia" w:ascii="仿宋_GB2312" w:eastAsia="仿宋_GB2312"/>
          <w:sz w:val="32"/>
          <w:szCs w:val="32"/>
        </w:rPr>
        <w:t>，已纳入三元区2021年国民经济和社会发展计划。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 w:val="32"/>
          <w:szCs w:val="32"/>
          <w:lang w:eastAsia="zh-CN"/>
        </w:rPr>
      </w:pPr>
      <w:r>
        <w:rPr>
          <w:rFonts w:hint="eastAsia" w:ascii="黑体" w:hAnsi="黑体" w:eastAsia="黑体"/>
          <w:sz w:val="32"/>
          <w:szCs w:val="32"/>
        </w:rPr>
        <w:t>四、</w:t>
      </w:r>
      <w:r>
        <w:rPr>
          <w:rFonts w:hint="eastAsia" w:ascii="黑体" w:hAnsi="黑体" w:eastAsia="黑体"/>
          <w:sz w:val="32"/>
          <w:szCs w:val="32"/>
          <w:lang w:eastAsia="zh-CN"/>
        </w:rPr>
        <w:t>功能分析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rPr>
      </w:pPr>
      <w:r>
        <w:rPr>
          <w:rFonts w:hint="eastAsia" w:ascii="仿宋_GB2312" w:hAnsi="宋体" w:eastAsia="仿宋_GB2312"/>
          <w:sz w:val="32"/>
          <w:szCs w:val="32"/>
        </w:rPr>
        <w:t>成片开发范围内用地主要有居住用地、公共管理与公共服务用地、商业服务业用地、交通运输用地、绿地与开敞空间用地、陆地水域等，实现城镇住宅、行政办公、文化教育、商业服务、文旅、研学、公共停车、公园等主要功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lang w:eastAsia="zh-CN"/>
        </w:rPr>
      </w:pPr>
      <w:r>
        <w:rPr>
          <w:rFonts w:hint="eastAsia" w:ascii="黑体" w:hAnsi="黑体" w:eastAsia="黑体"/>
          <w:sz w:val="32"/>
          <w:szCs w:val="32"/>
          <w:lang w:eastAsia="zh-CN"/>
        </w:rPr>
        <w:t>五、项目公建配比情况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宋体" w:eastAsia="仿宋_GB2312" w:cstheme="minorBidi"/>
          <w:b w:val="0"/>
          <w:bCs w:val="0"/>
          <w:kern w:val="2"/>
          <w:sz w:val="32"/>
          <w:szCs w:val="32"/>
          <w:lang w:val="en-US" w:eastAsia="zh-CN" w:bidi="ar-SA"/>
        </w:rPr>
      </w:pPr>
      <w:r>
        <w:rPr>
          <w:rFonts w:hint="eastAsia" w:ascii="仿宋_GB2312" w:hAnsi="宋体" w:eastAsia="仿宋_GB2312" w:cstheme="minorBidi"/>
          <w:b w:val="0"/>
          <w:bCs w:val="0"/>
          <w:kern w:val="2"/>
          <w:sz w:val="32"/>
          <w:szCs w:val="32"/>
          <w:lang w:val="en-US" w:eastAsia="zh-CN" w:bidi="ar-SA"/>
        </w:rPr>
        <w:t>公共管理与公共服务用地用途、交通运输用地用途、绿地与开敞空间用地用途、陆地水域用途属于公益性用地，合计14.3929公顷，占用地总面积的48.19%，符合土地征收成片开发标准（试行）的规定。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lang w:eastAsia="zh-CN"/>
        </w:rPr>
        <w:t>六</w:t>
      </w:r>
      <w:r>
        <w:rPr>
          <w:rFonts w:hint="eastAsia" w:ascii="黑体" w:hAnsi="黑体" w:eastAsia="黑体"/>
          <w:sz w:val="32"/>
          <w:szCs w:val="32"/>
        </w:rPr>
        <w:t>、拟安排的项目及开发时序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rPr>
      </w:pPr>
      <w:r>
        <w:rPr>
          <w:rFonts w:hint="eastAsia" w:ascii="仿宋_GB2312" w:hAnsi="宋体" w:eastAsia="仿宋_GB2312"/>
          <w:sz w:val="32"/>
          <w:szCs w:val="32"/>
        </w:rPr>
        <w:t>本方案拟安排实施项目面积</w:t>
      </w:r>
      <w:r>
        <w:rPr>
          <w:rFonts w:hint="eastAsia" w:ascii="仿宋_GB2312" w:hAnsi="宋体" w:eastAsia="仿宋_GB2312"/>
          <w:color w:val="auto"/>
          <w:sz w:val="32"/>
          <w:szCs w:val="32"/>
          <w:lang w:val="en-US" w:eastAsia="zh-CN"/>
        </w:rPr>
        <w:t>4.9680</w:t>
      </w:r>
      <w:r>
        <w:rPr>
          <w:rFonts w:hint="eastAsia" w:ascii="仿宋_GB2312" w:hAnsi="宋体" w:eastAsia="仿宋_GB2312"/>
          <w:sz w:val="32"/>
          <w:szCs w:val="32"/>
        </w:rPr>
        <w:t>公顷，主要包括</w:t>
      </w:r>
      <w:r>
        <w:rPr>
          <w:rFonts w:hint="eastAsia" w:ascii="Times New Roman" w:hAnsi="Times New Roman" w:eastAsia="仿宋_GB2312"/>
          <w:sz w:val="32"/>
          <w:szCs w:val="32"/>
          <w:lang w:eastAsia="zh-CN"/>
        </w:rPr>
        <w:t>交通运输用地</w:t>
      </w:r>
      <w:r>
        <w:rPr>
          <w:rFonts w:hint="eastAsia" w:ascii="Times New Roman" w:hAnsi="Times New Roman" w:eastAsia="仿宋_GB2312"/>
          <w:sz w:val="32"/>
          <w:szCs w:val="32"/>
        </w:rPr>
        <w:t>和商</w:t>
      </w:r>
      <w:r>
        <w:rPr>
          <w:rFonts w:hint="eastAsia" w:ascii="Times New Roman" w:hAnsi="Times New Roman" w:eastAsia="仿宋_GB2312"/>
          <w:sz w:val="32"/>
          <w:szCs w:val="32"/>
          <w:lang w:eastAsia="zh-CN"/>
        </w:rPr>
        <w:t>业服</w:t>
      </w:r>
      <w:r>
        <w:rPr>
          <w:rFonts w:hint="eastAsia" w:ascii="Times New Roman" w:hAnsi="Times New Roman" w:eastAsia="仿宋_GB2312"/>
          <w:sz w:val="32"/>
          <w:szCs w:val="32"/>
        </w:rPr>
        <w:t>务</w:t>
      </w:r>
      <w:r>
        <w:rPr>
          <w:rFonts w:hint="eastAsia" w:ascii="Times New Roman" w:hAnsi="Times New Roman" w:eastAsia="仿宋_GB2312"/>
          <w:sz w:val="32"/>
          <w:szCs w:val="32"/>
          <w:lang w:eastAsia="zh-CN"/>
        </w:rPr>
        <w:t>业</w:t>
      </w:r>
      <w:r>
        <w:rPr>
          <w:rFonts w:hint="eastAsia" w:ascii="Times New Roman" w:hAnsi="Times New Roman" w:eastAsia="仿宋_GB2312"/>
          <w:sz w:val="32"/>
          <w:szCs w:val="32"/>
        </w:rPr>
        <w:t>用地</w:t>
      </w:r>
      <w:r>
        <w:rPr>
          <w:rFonts w:hint="eastAsia" w:ascii="Times New Roman" w:hAnsi="Times New Roman" w:eastAsia="仿宋_GB2312"/>
          <w:sz w:val="32"/>
          <w:szCs w:val="32"/>
          <w:lang w:eastAsia="zh-CN"/>
        </w:rPr>
        <w:t>项目</w:t>
      </w:r>
      <w:r>
        <w:rPr>
          <w:rFonts w:hint="eastAsia" w:ascii="Times New Roman" w:hAnsi="Times New Roman" w:eastAsia="仿宋_GB2312"/>
          <w:sz w:val="32"/>
          <w:szCs w:val="32"/>
        </w:rPr>
        <w:t>，</w:t>
      </w:r>
      <w:r>
        <w:rPr>
          <w:rFonts w:hint="eastAsia" w:ascii="仿宋_GB2312" w:hAnsi="宋体" w:eastAsia="仿宋_GB2312"/>
          <w:sz w:val="32"/>
          <w:szCs w:val="32"/>
        </w:rPr>
        <w:t>项目计划实施周期为1年（2021年）。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 w:val="32"/>
          <w:szCs w:val="32"/>
        </w:rPr>
      </w:pPr>
      <w:bookmarkStart w:id="4" w:name="_Toc63249177"/>
      <w:r>
        <w:rPr>
          <w:rFonts w:hint="eastAsia" w:ascii="黑体" w:hAnsi="黑体" w:eastAsia="黑体"/>
          <w:sz w:val="32"/>
          <w:szCs w:val="32"/>
          <w:lang w:eastAsia="zh-CN"/>
        </w:rPr>
        <w:t>七</w:t>
      </w:r>
      <w:r>
        <w:rPr>
          <w:rFonts w:hint="eastAsia" w:ascii="黑体" w:hAnsi="黑体" w:eastAsia="黑体"/>
          <w:sz w:val="32"/>
          <w:szCs w:val="32"/>
        </w:rPr>
        <w:t>、土地利用效益评估</w:t>
      </w:r>
      <w:bookmarkEnd w:id="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rPr>
      </w:pPr>
      <w:bookmarkStart w:id="5" w:name="_Toc63249178"/>
      <w:r>
        <w:rPr>
          <w:rFonts w:hint="eastAsia" w:ascii="仿宋_GB2312" w:hAnsi="宋体" w:eastAsia="仿宋_GB2312"/>
          <w:sz w:val="32"/>
          <w:szCs w:val="32"/>
        </w:rPr>
        <w:t>（一）经济效益</w:t>
      </w:r>
      <w:bookmarkEnd w:id="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rPr>
      </w:pPr>
      <w:r>
        <w:rPr>
          <w:rFonts w:hint="eastAsia" w:ascii="仿宋_GB2312" w:hAnsi="宋体" w:eastAsia="仿宋_GB2312"/>
          <w:sz w:val="32"/>
          <w:szCs w:val="32"/>
        </w:rPr>
        <w:t>本方案为岩前镇和万寿岩考古遗址公园提供公共服务配套及旅游配套设施，将完善岩前片区的公共服务水平，提升万寿岩品牌吸引力，促进万寿岩文旅产业融合发展，为本地经济带来新效益，同时也将改善就业环境，增加就业岗位，提升当地居民的收入水平，具有良好的经济效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rPr>
      </w:pPr>
      <w:bookmarkStart w:id="6" w:name="_Toc63249179"/>
      <w:r>
        <w:rPr>
          <w:rFonts w:hint="eastAsia" w:ascii="仿宋_GB2312" w:hAnsi="宋体" w:eastAsia="仿宋_GB2312"/>
          <w:sz w:val="32"/>
          <w:szCs w:val="32"/>
        </w:rPr>
        <w:t>（二）社会效益</w:t>
      </w:r>
      <w:bookmarkEnd w:id="6"/>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rPr>
      </w:pPr>
      <w:r>
        <w:rPr>
          <w:rFonts w:hint="eastAsia" w:ascii="仿宋_GB2312" w:hAnsi="宋体" w:eastAsia="仿宋_GB2312"/>
          <w:sz w:val="32"/>
          <w:szCs w:val="32"/>
          <w:lang w:eastAsia="zh-CN"/>
        </w:rPr>
        <w:t>通过完善万寿岩遗址公园入园道路和旅游配套基础设施建设，加强对万寿岩遗址公园的保护和文化旅游深度融合；宣传时任福建省代省长习近平同志保护万寿岩遗址的故事，践行绿水青山就是金山银山的“两山理念”，打造习近平生态文明思想的实践基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rPr>
      </w:pPr>
      <w:bookmarkStart w:id="7" w:name="_Toc63249180"/>
      <w:r>
        <w:rPr>
          <w:rFonts w:hint="eastAsia" w:ascii="仿宋_GB2312" w:hAnsi="宋体" w:eastAsia="仿宋_GB2312"/>
          <w:sz w:val="32"/>
          <w:szCs w:val="32"/>
        </w:rPr>
        <w:t>（三）生态效益</w:t>
      </w:r>
      <w:bookmarkEnd w:id="7"/>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rPr>
      </w:pPr>
      <w:r>
        <w:rPr>
          <w:rFonts w:hint="eastAsia" w:ascii="仿宋_GB2312" w:hAnsi="宋体" w:eastAsia="仿宋_GB2312"/>
          <w:sz w:val="32"/>
          <w:szCs w:val="32"/>
        </w:rPr>
        <w:t>本方案严格控制项目建设不得破坏原有环境，土地节约集约利用，提高土地利用效率。同时，对渔塘溪及沿岸进行整治，建设滨河公园、生态绿地等，积极实践生态建设与经济建设协调发展，具有良好的生态效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 w:val="32"/>
          <w:szCs w:val="32"/>
        </w:rPr>
      </w:pPr>
      <w:bookmarkStart w:id="8" w:name="_Toc63249166"/>
      <w:r>
        <w:rPr>
          <w:rFonts w:hint="eastAsia" w:ascii="黑体" w:hAnsi="黑体" w:eastAsia="黑体"/>
          <w:sz w:val="32"/>
          <w:szCs w:val="32"/>
          <w:lang w:eastAsia="zh-CN"/>
        </w:rPr>
        <w:t>八</w:t>
      </w:r>
      <w:r>
        <w:rPr>
          <w:rFonts w:hint="eastAsia" w:ascii="黑体" w:hAnsi="黑体" w:eastAsia="黑体"/>
          <w:sz w:val="32"/>
          <w:szCs w:val="32"/>
        </w:rPr>
        <w:t>、</w:t>
      </w:r>
      <w:r>
        <w:rPr>
          <w:rFonts w:hint="eastAsia" w:ascii="黑体" w:hAnsi="黑体" w:eastAsia="黑体"/>
          <w:sz w:val="32"/>
          <w:szCs w:val="32"/>
          <w:lang w:eastAsia="zh-CN"/>
        </w:rPr>
        <w:t>永久基本农田及生态保护情况</w:t>
      </w:r>
      <w:bookmarkEnd w:id="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sz w:val="32"/>
          <w:szCs w:val="32"/>
        </w:rPr>
      </w:pPr>
      <w:bookmarkStart w:id="9" w:name="_Toc63249181"/>
      <w:bookmarkStart w:id="10" w:name="_Toc62199337"/>
      <w:r>
        <w:rPr>
          <w:rFonts w:hint="eastAsia" w:ascii="仿宋_GB2312" w:hAnsi="宋体" w:eastAsia="仿宋_GB2312"/>
          <w:sz w:val="32"/>
          <w:szCs w:val="32"/>
        </w:rPr>
        <w:t>成片开发区域范围不涉及永久基本农田、生态保护红 线、各类保护区（含文物保护），符合成片开发项目送审报 批的要求。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lang w:eastAsia="zh-CN"/>
        </w:rPr>
        <w:t>九</w:t>
      </w:r>
      <w:r>
        <w:rPr>
          <w:rFonts w:hint="eastAsia" w:ascii="黑体" w:hAnsi="黑体" w:eastAsia="黑体"/>
          <w:sz w:val="32"/>
          <w:szCs w:val="32"/>
        </w:rPr>
        <w:t>、结论</w:t>
      </w:r>
      <w:bookmarkEnd w:id="9"/>
      <w:bookmarkEnd w:id="1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sectPr>
          <w:footerReference r:id="rId3" w:type="default"/>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rPr>
        <w:t>《三明市</w:t>
      </w:r>
      <w:r>
        <w:rPr>
          <w:rFonts w:hint="eastAsia" w:ascii="仿宋_GB2312" w:hAnsi="仿宋_GB2312" w:eastAsia="仿宋_GB2312" w:cs="仿宋_GB2312"/>
          <w:sz w:val="32"/>
          <w:szCs w:val="32"/>
          <w:lang w:eastAsia="zh-CN"/>
        </w:rPr>
        <w:t>岩前镇岩前村小湖坂周边</w:t>
      </w:r>
      <w:bookmarkStart w:id="11" w:name="_GoBack"/>
      <w:bookmarkEnd w:id="11"/>
      <w:r>
        <w:rPr>
          <w:rFonts w:hint="eastAsia" w:ascii="仿宋_GB2312" w:hAnsi="仿宋_GB2312" w:eastAsia="仿宋_GB2312" w:cs="仿宋_GB2312"/>
          <w:sz w:val="32"/>
          <w:szCs w:val="32"/>
          <w:lang w:eastAsia="zh-CN"/>
        </w:rPr>
        <w:t>地块土地征收成片开发方案</w:t>
      </w:r>
      <w:r>
        <w:rPr>
          <w:rFonts w:hint="eastAsia" w:ascii="仿宋_GB2312" w:hAnsi="仿宋_GB2312" w:eastAsia="仿宋_GB2312" w:cs="仿宋_GB2312"/>
          <w:sz w:val="32"/>
          <w:szCs w:val="32"/>
        </w:rPr>
        <w:t>》符合自然资源部土地征收“成片开发”的标准。</w:t>
      </w:r>
    </w:p>
    <w:p>
      <w:pPr>
        <w:spacing w:line="360" w:lineRule="auto"/>
        <w:rPr>
          <w:rFonts w:ascii="宋体" w:hAnsi="宋体" w:eastAsia="宋体"/>
          <w:sz w:val="24"/>
          <w:szCs w:val="24"/>
        </w:rPr>
      </w:pPr>
      <w:r>
        <w:rPr>
          <w:rFonts w:hint="eastAsia" w:ascii="宋体" w:hAnsi="宋体" w:eastAsia="宋体"/>
          <w:sz w:val="24"/>
          <w:szCs w:val="24"/>
        </w:rPr>
        <w:t>附图1  位置示意图</w:t>
      </w:r>
    </w:p>
    <w:p>
      <w:pPr>
        <w:spacing w:line="360" w:lineRule="auto"/>
        <w:rPr>
          <w:rFonts w:ascii="宋体" w:hAnsi="宋体" w:eastAsia="宋体"/>
          <w:sz w:val="24"/>
          <w:szCs w:val="24"/>
        </w:rPr>
        <w:sectPr>
          <w:footerReference r:id="rId4" w:type="default"/>
          <w:pgSz w:w="11906" w:h="16838"/>
          <w:pgMar w:top="1440" w:right="1800" w:bottom="1440" w:left="1800" w:header="851" w:footer="992" w:gutter="0"/>
          <w:cols w:space="425" w:num="1"/>
          <w:docGrid w:type="lines" w:linePitch="312" w:charSpace="0"/>
        </w:sectPr>
      </w:pPr>
      <w:r>
        <w:rPr>
          <w:rFonts w:hint="eastAsia" w:ascii="宋体" w:hAnsi="宋体" w:eastAsia="宋体"/>
          <w:sz w:val="24"/>
          <w:szCs w:val="24"/>
        </w:rPr>
        <w:drawing>
          <wp:inline distT="0" distB="0" distL="0" distR="0">
            <wp:extent cx="5813425" cy="82149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4000" cy="8215200"/>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附图2  征收范围示意图</w:t>
      </w:r>
    </w:p>
    <w:p>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73040" cy="7451725"/>
            <wp:effectExtent l="0" t="0" r="3810" b="15875"/>
            <wp:docPr id="1" name="图片 1" descr="征地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征地范围示意图"/>
                    <pic:cNvPicPr>
                      <a:picLocks noChangeAspect="1"/>
                    </pic:cNvPicPr>
                  </pic:nvPicPr>
                  <pic:blipFill>
                    <a:blip r:embed="rId7"/>
                    <a:stretch>
                      <a:fillRect/>
                    </a:stretch>
                  </pic:blipFill>
                  <pic:spPr>
                    <a:xfrm>
                      <a:off x="0" y="0"/>
                      <a:ext cx="5273040" cy="74517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3491821"/>
      <w:docPartObj>
        <w:docPartGallery w:val="autotext"/>
      </w:docPartObj>
    </w:sdtPr>
    <w:sdtContent>
      <w:p>
        <w:pPr>
          <w:pStyle w:val="6"/>
          <w:jc w:val="right"/>
        </w:pPr>
        <w:r>
          <w:fldChar w:fldCharType="begin"/>
        </w:r>
        <w:r>
          <w:instrText xml:space="preserve">PAGE   \* MERGEFORMAT</w:instrText>
        </w:r>
        <w:r>
          <w:fldChar w:fldCharType="separate"/>
        </w:r>
        <w:r>
          <w:rPr>
            <w:lang w:val="zh-CN"/>
          </w:rPr>
          <w:t>6</w:t>
        </w:r>
        <w:r>
          <w:fldChar w:fldCharType="end"/>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3491821"/>
      <w:docPartObj>
        <w:docPartGallery w:val="autotext"/>
      </w:docPartObj>
    </w:sdtPr>
    <w:sdtContent>
      <w:p>
        <w:pPr>
          <w:pStyle w:val="6"/>
          <w:jc w:val="right"/>
        </w:pPr>
        <w:r>
          <w:fldChar w:fldCharType="begin"/>
        </w:r>
        <w:r>
          <w:instrText xml:space="preserve">PAGE   \* MERGEFORMAT</w:instrText>
        </w:r>
        <w:r>
          <w:fldChar w:fldCharType="separate"/>
        </w:r>
        <w:r>
          <w:rPr>
            <w:lang w:val="zh-CN"/>
          </w:rPr>
          <w:t>6</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150E1A"/>
    <w:multiLevelType w:val="singleLevel"/>
    <w:tmpl w:val="2B150E1A"/>
    <w:lvl w:ilvl="0" w:tentative="0">
      <w:start w:val="1"/>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216"/>
    <w:rsid w:val="00014B6A"/>
    <w:rsid w:val="00016982"/>
    <w:rsid w:val="00016C65"/>
    <w:rsid w:val="000177E8"/>
    <w:rsid w:val="00024A83"/>
    <w:rsid w:val="00030ED1"/>
    <w:rsid w:val="000364E2"/>
    <w:rsid w:val="00081E08"/>
    <w:rsid w:val="000A01C6"/>
    <w:rsid w:val="000B7645"/>
    <w:rsid w:val="000C3E85"/>
    <w:rsid w:val="000E1D93"/>
    <w:rsid w:val="000F2B4F"/>
    <w:rsid w:val="000F64B7"/>
    <w:rsid w:val="0010089A"/>
    <w:rsid w:val="00106060"/>
    <w:rsid w:val="0012331E"/>
    <w:rsid w:val="00124922"/>
    <w:rsid w:val="00127747"/>
    <w:rsid w:val="001306D5"/>
    <w:rsid w:val="00135143"/>
    <w:rsid w:val="001504AC"/>
    <w:rsid w:val="0016494A"/>
    <w:rsid w:val="001666A5"/>
    <w:rsid w:val="00186427"/>
    <w:rsid w:val="001969A4"/>
    <w:rsid w:val="00197A62"/>
    <w:rsid w:val="001B2504"/>
    <w:rsid w:val="001B5536"/>
    <w:rsid w:val="001C2995"/>
    <w:rsid w:val="001F7654"/>
    <w:rsid w:val="00223D81"/>
    <w:rsid w:val="00225150"/>
    <w:rsid w:val="0023479E"/>
    <w:rsid w:val="00242036"/>
    <w:rsid w:val="0026524B"/>
    <w:rsid w:val="00265E19"/>
    <w:rsid w:val="00266B42"/>
    <w:rsid w:val="0027156A"/>
    <w:rsid w:val="00271B1B"/>
    <w:rsid w:val="00277615"/>
    <w:rsid w:val="00295EA7"/>
    <w:rsid w:val="002A1019"/>
    <w:rsid w:val="002B3017"/>
    <w:rsid w:val="002B56E7"/>
    <w:rsid w:val="002B67DD"/>
    <w:rsid w:val="002C0AB7"/>
    <w:rsid w:val="002F6BA8"/>
    <w:rsid w:val="00337CFB"/>
    <w:rsid w:val="003474D7"/>
    <w:rsid w:val="00355AED"/>
    <w:rsid w:val="0036139A"/>
    <w:rsid w:val="003649BB"/>
    <w:rsid w:val="00365B79"/>
    <w:rsid w:val="003709D1"/>
    <w:rsid w:val="00382C40"/>
    <w:rsid w:val="00395CDC"/>
    <w:rsid w:val="003A16AF"/>
    <w:rsid w:val="003D067D"/>
    <w:rsid w:val="003D100F"/>
    <w:rsid w:val="003E5ED4"/>
    <w:rsid w:val="003F3482"/>
    <w:rsid w:val="003F44FC"/>
    <w:rsid w:val="00400E22"/>
    <w:rsid w:val="00412F83"/>
    <w:rsid w:val="00431A82"/>
    <w:rsid w:val="00431C33"/>
    <w:rsid w:val="004550DD"/>
    <w:rsid w:val="00467538"/>
    <w:rsid w:val="00476BBE"/>
    <w:rsid w:val="00477291"/>
    <w:rsid w:val="004776DC"/>
    <w:rsid w:val="00483487"/>
    <w:rsid w:val="00486FC1"/>
    <w:rsid w:val="00490296"/>
    <w:rsid w:val="004937FD"/>
    <w:rsid w:val="004B1EAA"/>
    <w:rsid w:val="004E01FE"/>
    <w:rsid w:val="004F5E1B"/>
    <w:rsid w:val="004F6935"/>
    <w:rsid w:val="0052166F"/>
    <w:rsid w:val="00523B06"/>
    <w:rsid w:val="005268A1"/>
    <w:rsid w:val="00546F6A"/>
    <w:rsid w:val="00551E05"/>
    <w:rsid w:val="005675E7"/>
    <w:rsid w:val="00575A09"/>
    <w:rsid w:val="00603E25"/>
    <w:rsid w:val="00605281"/>
    <w:rsid w:val="00605C41"/>
    <w:rsid w:val="00616221"/>
    <w:rsid w:val="00664C18"/>
    <w:rsid w:val="0066761F"/>
    <w:rsid w:val="006818F3"/>
    <w:rsid w:val="00684555"/>
    <w:rsid w:val="0068613A"/>
    <w:rsid w:val="00690ABA"/>
    <w:rsid w:val="006B27C7"/>
    <w:rsid w:val="006D557C"/>
    <w:rsid w:val="006E0BEE"/>
    <w:rsid w:val="006E5611"/>
    <w:rsid w:val="006F1009"/>
    <w:rsid w:val="00727D6B"/>
    <w:rsid w:val="00732BF5"/>
    <w:rsid w:val="0075128A"/>
    <w:rsid w:val="00755D8A"/>
    <w:rsid w:val="00762105"/>
    <w:rsid w:val="00770E48"/>
    <w:rsid w:val="00771B66"/>
    <w:rsid w:val="0079059C"/>
    <w:rsid w:val="00793DDE"/>
    <w:rsid w:val="007B4392"/>
    <w:rsid w:val="007D1B5E"/>
    <w:rsid w:val="007E2D4B"/>
    <w:rsid w:val="007F7A2D"/>
    <w:rsid w:val="00807DA6"/>
    <w:rsid w:val="00836791"/>
    <w:rsid w:val="008516F1"/>
    <w:rsid w:val="008829B8"/>
    <w:rsid w:val="008B1188"/>
    <w:rsid w:val="008B6266"/>
    <w:rsid w:val="008D0872"/>
    <w:rsid w:val="008E4311"/>
    <w:rsid w:val="008F0B9E"/>
    <w:rsid w:val="008F2204"/>
    <w:rsid w:val="009022FA"/>
    <w:rsid w:val="00921DC2"/>
    <w:rsid w:val="00926672"/>
    <w:rsid w:val="0092749A"/>
    <w:rsid w:val="00932E27"/>
    <w:rsid w:val="00946577"/>
    <w:rsid w:val="00966B0C"/>
    <w:rsid w:val="00974FC8"/>
    <w:rsid w:val="009941D9"/>
    <w:rsid w:val="00997C73"/>
    <w:rsid w:val="009A2B15"/>
    <w:rsid w:val="009C7B11"/>
    <w:rsid w:val="009D4B00"/>
    <w:rsid w:val="00A047D2"/>
    <w:rsid w:val="00A109BB"/>
    <w:rsid w:val="00A31929"/>
    <w:rsid w:val="00A4000D"/>
    <w:rsid w:val="00A42FF6"/>
    <w:rsid w:val="00A44F92"/>
    <w:rsid w:val="00A468C5"/>
    <w:rsid w:val="00A51773"/>
    <w:rsid w:val="00AA482A"/>
    <w:rsid w:val="00AB0DC2"/>
    <w:rsid w:val="00AB11A6"/>
    <w:rsid w:val="00AB66C6"/>
    <w:rsid w:val="00AC7E94"/>
    <w:rsid w:val="00AD15BA"/>
    <w:rsid w:val="00AD1BD7"/>
    <w:rsid w:val="00AE3EE2"/>
    <w:rsid w:val="00AF2915"/>
    <w:rsid w:val="00B01D1E"/>
    <w:rsid w:val="00B2678E"/>
    <w:rsid w:val="00B31410"/>
    <w:rsid w:val="00B41EFC"/>
    <w:rsid w:val="00B45738"/>
    <w:rsid w:val="00B65C88"/>
    <w:rsid w:val="00B77B7B"/>
    <w:rsid w:val="00B83C69"/>
    <w:rsid w:val="00B95C1F"/>
    <w:rsid w:val="00BA5AE4"/>
    <w:rsid w:val="00BB1CF4"/>
    <w:rsid w:val="00BB4BDD"/>
    <w:rsid w:val="00BB5854"/>
    <w:rsid w:val="00BD71DC"/>
    <w:rsid w:val="00BE3832"/>
    <w:rsid w:val="00BF18A0"/>
    <w:rsid w:val="00C15470"/>
    <w:rsid w:val="00C246F0"/>
    <w:rsid w:val="00C32359"/>
    <w:rsid w:val="00C41F21"/>
    <w:rsid w:val="00C62975"/>
    <w:rsid w:val="00C647BB"/>
    <w:rsid w:val="00C7459F"/>
    <w:rsid w:val="00C8171F"/>
    <w:rsid w:val="00C859AA"/>
    <w:rsid w:val="00C9374F"/>
    <w:rsid w:val="00CB2D36"/>
    <w:rsid w:val="00CC410E"/>
    <w:rsid w:val="00D006A0"/>
    <w:rsid w:val="00D06E37"/>
    <w:rsid w:val="00D168E5"/>
    <w:rsid w:val="00D1750E"/>
    <w:rsid w:val="00D36F6F"/>
    <w:rsid w:val="00D409DC"/>
    <w:rsid w:val="00D449FA"/>
    <w:rsid w:val="00D44E9A"/>
    <w:rsid w:val="00D57607"/>
    <w:rsid w:val="00D70C49"/>
    <w:rsid w:val="00D71DFC"/>
    <w:rsid w:val="00D902A6"/>
    <w:rsid w:val="00D9042B"/>
    <w:rsid w:val="00DC0F77"/>
    <w:rsid w:val="00DC164D"/>
    <w:rsid w:val="00DC22F9"/>
    <w:rsid w:val="00DE449C"/>
    <w:rsid w:val="00DF6F50"/>
    <w:rsid w:val="00E13517"/>
    <w:rsid w:val="00E310DD"/>
    <w:rsid w:val="00E353F4"/>
    <w:rsid w:val="00E51F09"/>
    <w:rsid w:val="00E54CEF"/>
    <w:rsid w:val="00E63B06"/>
    <w:rsid w:val="00E82216"/>
    <w:rsid w:val="00E90AF9"/>
    <w:rsid w:val="00EA0B70"/>
    <w:rsid w:val="00EA3CAF"/>
    <w:rsid w:val="00EA5E8C"/>
    <w:rsid w:val="00EC4660"/>
    <w:rsid w:val="00EC7B7B"/>
    <w:rsid w:val="00ED3C30"/>
    <w:rsid w:val="00EE22EB"/>
    <w:rsid w:val="00EF2061"/>
    <w:rsid w:val="00EF2704"/>
    <w:rsid w:val="00EF6BF2"/>
    <w:rsid w:val="00F04887"/>
    <w:rsid w:val="00F04A56"/>
    <w:rsid w:val="00F12171"/>
    <w:rsid w:val="00F166A5"/>
    <w:rsid w:val="00F21C4C"/>
    <w:rsid w:val="00F230F8"/>
    <w:rsid w:val="00F26D33"/>
    <w:rsid w:val="00F36E60"/>
    <w:rsid w:val="00F457DC"/>
    <w:rsid w:val="00F538D2"/>
    <w:rsid w:val="00F63A36"/>
    <w:rsid w:val="00F6623F"/>
    <w:rsid w:val="00F76D0D"/>
    <w:rsid w:val="00F83ACF"/>
    <w:rsid w:val="00F84BAD"/>
    <w:rsid w:val="00FB30B7"/>
    <w:rsid w:val="00FC268D"/>
    <w:rsid w:val="00FC2D43"/>
    <w:rsid w:val="00FE1E2F"/>
    <w:rsid w:val="00FE6BA9"/>
    <w:rsid w:val="0135396B"/>
    <w:rsid w:val="06AC27B7"/>
    <w:rsid w:val="0C08030C"/>
    <w:rsid w:val="0DCB758F"/>
    <w:rsid w:val="14D06CE5"/>
    <w:rsid w:val="16840825"/>
    <w:rsid w:val="18C42152"/>
    <w:rsid w:val="21890E3D"/>
    <w:rsid w:val="2F6A42AB"/>
    <w:rsid w:val="340879CF"/>
    <w:rsid w:val="39E42C06"/>
    <w:rsid w:val="3D8F04C7"/>
    <w:rsid w:val="43633355"/>
    <w:rsid w:val="44920EAD"/>
    <w:rsid w:val="44B31686"/>
    <w:rsid w:val="4F206901"/>
    <w:rsid w:val="4F3113F5"/>
    <w:rsid w:val="525553FD"/>
    <w:rsid w:val="5B8D7757"/>
    <w:rsid w:val="65740A08"/>
    <w:rsid w:val="672B3F4D"/>
    <w:rsid w:val="73247FCE"/>
    <w:rsid w:val="74653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5"/>
    <w:semiHidden/>
    <w:unhideWhenUsed/>
    <w:qFormat/>
    <w:uiPriority w:val="99"/>
    <w:pPr>
      <w:jc w:val="left"/>
    </w:pPr>
  </w:style>
  <w:style w:type="paragraph" w:styleId="5">
    <w:name w:val="Balloon Text"/>
    <w:basedOn w:val="1"/>
    <w:link w:val="24"/>
    <w:semiHidden/>
    <w:unhideWhenUsed/>
    <w:qFormat/>
    <w:uiPriority w:val="99"/>
    <w:rPr>
      <w:sz w:val="18"/>
      <w:szCs w:val="18"/>
    </w:rPr>
  </w:style>
  <w:style w:type="paragraph" w:styleId="6">
    <w:name w:val="footer"/>
    <w:basedOn w:val="1"/>
    <w:link w:val="23"/>
    <w:unhideWhenUsed/>
    <w:qFormat/>
    <w:uiPriority w:val="99"/>
    <w:pPr>
      <w:tabs>
        <w:tab w:val="center" w:pos="4153"/>
        <w:tab w:val="right" w:pos="8306"/>
      </w:tabs>
      <w:snapToGrid w:val="0"/>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4"/>
    <w:next w:val="4"/>
    <w:link w:val="26"/>
    <w:semiHidden/>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styleId="17">
    <w:name w:val="annotation reference"/>
    <w:basedOn w:val="14"/>
    <w:semiHidden/>
    <w:unhideWhenUsed/>
    <w:qFormat/>
    <w:uiPriority w:val="99"/>
    <w:rPr>
      <w:sz w:val="21"/>
      <w:szCs w:val="21"/>
    </w:rPr>
  </w:style>
  <w:style w:type="paragraph" w:styleId="18">
    <w:name w:val="List Paragraph"/>
    <w:basedOn w:val="1"/>
    <w:qFormat/>
    <w:uiPriority w:val="34"/>
    <w:pPr>
      <w:ind w:firstLine="420" w:firstLineChars="200"/>
    </w:pPr>
  </w:style>
  <w:style w:type="character" w:customStyle="1" w:styleId="19">
    <w:name w:val="标题 1 字符"/>
    <w:basedOn w:val="14"/>
    <w:link w:val="2"/>
    <w:qFormat/>
    <w:uiPriority w:val="9"/>
    <w:rPr>
      <w:b/>
      <w:bCs/>
      <w:kern w:val="44"/>
      <w:sz w:val="44"/>
      <w:szCs w:val="44"/>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标题 2 字符"/>
    <w:basedOn w:val="14"/>
    <w:link w:val="3"/>
    <w:qFormat/>
    <w:uiPriority w:val="9"/>
    <w:rPr>
      <w:rFonts w:asciiTheme="majorHAnsi" w:hAnsiTheme="majorHAnsi" w:eastAsiaTheme="majorEastAsia" w:cstheme="majorBidi"/>
      <w:b/>
      <w:bCs/>
      <w:kern w:val="2"/>
      <w:sz w:val="32"/>
      <w:szCs w:val="32"/>
    </w:rPr>
  </w:style>
  <w:style w:type="character" w:customStyle="1" w:styleId="22">
    <w:name w:val="页眉 字符"/>
    <w:basedOn w:val="14"/>
    <w:link w:val="7"/>
    <w:qFormat/>
    <w:uiPriority w:val="99"/>
    <w:rPr>
      <w:kern w:val="2"/>
      <w:sz w:val="18"/>
      <w:szCs w:val="18"/>
    </w:rPr>
  </w:style>
  <w:style w:type="character" w:customStyle="1" w:styleId="23">
    <w:name w:val="页脚 字符"/>
    <w:basedOn w:val="14"/>
    <w:link w:val="6"/>
    <w:qFormat/>
    <w:uiPriority w:val="99"/>
    <w:rPr>
      <w:kern w:val="2"/>
      <w:sz w:val="18"/>
      <w:szCs w:val="18"/>
    </w:rPr>
  </w:style>
  <w:style w:type="character" w:customStyle="1" w:styleId="24">
    <w:name w:val="批注框文本 字符"/>
    <w:basedOn w:val="14"/>
    <w:link w:val="5"/>
    <w:semiHidden/>
    <w:qFormat/>
    <w:uiPriority w:val="99"/>
    <w:rPr>
      <w:kern w:val="2"/>
      <w:sz w:val="18"/>
      <w:szCs w:val="18"/>
    </w:rPr>
  </w:style>
  <w:style w:type="character" w:customStyle="1" w:styleId="25">
    <w:name w:val="批注文字 字符"/>
    <w:basedOn w:val="14"/>
    <w:link w:val="4"/>
    <w:semiHidden/>
    <w:qFormat/>
    <w:uiPriority w:val="99"/>
    <w:rPr>
      <w:kern w:val="2"/>
      <w:sz w:val="21"/>
      <w:szCs w:val="22"/>
    </w:rPr>
  </w:style>
  <w:style w:type="character" w:customStyle="1" w:styleId="26">
    <w:name w:val="批注主题 字符"/>
    <w:basedOn w:val="25"/>
    <w:link w:val="11"/>
    <w:semiHidden/>
    <w:qFormat/>
    <w:uiPriority w:val="99"/>
    <w:rPr>
      <w:b/>
      <w:bCs/>
      <w:kern w:val="2"/>
      <w:sz w:val="21"/>
      <w:szCs w:val="22"/>
    </w:rPr>
  </w:style>
  <w:style w:type="paragraph" w:customStyle="1" w:styleId="27">
    <w:name w:val="Char Char Char"/>
    <w:basedOn w:val="1"/>
    <w:qFormat/>
    <w:uiPriority w:val="0"/>
    <w:pPr>
      <w:spacing w:line="500" w:lineRule="exact"/>
      <w:ind w:firstLine="200" w:firstLineChars="200"/>
    </w:pPr>
    <w:rPr>
      <w:rFonts w:ascii="Times New Roman" w:hAnsi="Times New Roman" w:eastAsia="仿宋_GB2312" w:cs="Times New Roman"/>
      <w:sz w:val="30"/>
      <w:szCs w:val="30"/>
    </w:rPr>
  </w:style>
  <w:style w:type="paragraph" w:customStyle="1" w:styleId="28">
    <w:name w:val="封面标题1"/>
    <w:basedOn w:val="1"/>
    <w:qFormat/>
    <w:uiPriority w:val="0"/>
    <w:pPr>
      <w:spacing w:line="640" w:lineRule="exact"/>
      <w:jc w:val="center"/>
    </w:pPr>
    <w:rPr>
      <w:rFonts w:ascii="方正小标宋简体" w:hAnsi="Times New Roman" w:eastAsia="方正小标宋简体" w:cs="宋体"/>
      <w:snapToGrid w:val="0"/>
      <w:color w:val="000000"/>
      <w:sz w:val="48"/>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42031-76AF-4A26-9234-2EA85D7497E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272</Words>
  <Characters>1551</Characters>
  <Lines>12</Lines>
  <Paragraphs>3</Paragraphs>
  <TotalTime>17</TotalTime>
  <ScaleCrop>false</ScaleCrop>
  <LinksUpToDate>false</LinksUpToDate>
  <CharactersWithSpaces>1820</CharactersWithSpaces>
  <Application>WPS Office_11.1.0.10328_F1E327BC-269C-435d-A152-05C5408002CA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2021-02-04T13:22:00Z</dcterms:created>
  <dc:creator>Administrator</dc:creator>
  <cp:lastModifiedBy>Administrator</cp:lastModifiedBy>
  <cp:lastPrinted>2021-02-05T08:16:25Z</cp:lastPrinted>
  <dcterms:modified xsi:type="dcterms:W3CDTF">2021-02-05T09:29:47Z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2052-11.1.0.10328</vt:lpwstr>
  </property>
  <property fmtid="{D5CDD505-2E9C-101B-9397-08002B2CF9AE}" pid="3" name="ICV">
    <vt:lpwstr>993AACF445CF42B78AD57203F64992A4</vt:lpwstr>
  </property>
</Properties>
</file>