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三元区人民政府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康复与治未病中心建设项目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房屋征收决定书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40"/>
          <w:szCs w:val="40"/>
        </w:rPr>
      </w:pPr>
    </w:p>
    <w:p>
      <w:pPr>
        <w:spacing w:line="576" w:lineRule="exact"/>
        <w:ind w:firstLine="640" w:firstLineChars="200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三明市中西医结合医院康复与治未病中心建设项目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需要，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根据《国有土地上房屋征收与补偿条例》(国务院令第590号)、《福建省实施&lt;国有土地上房屋征收与补偿条例&gt;办法》（省政府令第138号）等有关规定，依据市政府常务会议第46次纪要精神，现决定对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三明市中西医结合医院康复与治未病中心建设项目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征收红线范围内国有土地上的房屋及其附属物实施征收。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一、房屋征收项目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三明市中西医结合医院康复与治未病中心建设项目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地块房屋征收项目。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27" w:firstLineChars="196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二、房屋征收范围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中西医结合医院康复与治未病中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心建设项目房屋征收红线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范围内建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构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筑物、附属物均列入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征收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范围，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即，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三明市三元区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沙洲新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其中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套房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户，建筑面积约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1438.45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平方米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；柴火间（杂物间）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17间;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沿街一层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商业用房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间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(经营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商业用房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数量按实际为准)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，建筑面积约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237.28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平方米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  <w:t>具体范围详见</w:t>
      </w:r>
      <w:r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  <w:lang w:val="en-US" w:eastAsia="zh-CN"/>
        </w:rPr>
        <w:t>附图）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三、房屋征收主体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三元区人民政府。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四、房屋征收部门：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三元区土地房屋征收中心,电话：0598-8309636。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五、房屋征收实施单位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：三元区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城关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街道办事处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房屋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征收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服务单位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：福建省瑞锦房屋征收服务有限公司。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七、房屋征收与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补偿安置方式：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货币补偿和房票安置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、房屋征收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补偿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安置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：详见附件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、签约期限：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2025年3月14日至2025年4月13日，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被征收人应当在签约期限内与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房屋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征收部门签订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征收补偿协议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并在规定的时间内腾空房屋完成搬迁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；具体签约事宜由三元区城关街道办事处负责办理。</w:t>
      </w:r>
    </w:p>
    <w:p>
      <w:pPr>
        <w:widowControl/>
        <w:shd w:val="clear" w:color="auto" w:fill="FFFFFF"/>
        <w:ind w:firstLine="612"/>
        <w:jc w:val="left"/>
        <w:rPr>
          <w:rFonts w:hint="eastAsia" w:ascii="仿宋_GB2312" w:hAnsi="宋体" w:eastAsia="仿宋_GB2312" w:cs="宋体"/>
          <w:color w:val="auto"/>
          <w:kern w:val="0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十、征收补偿协议生效日期：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自协议各方签章之日起生效；</w:t>
      </w:r>
      <w:r>
        <w:rPr>
          <w:rFonts w:hint="eastAsia" w:ascii="仿宋_GB2312" w:hAnsi="宋体" w:eastAsia="仿宋_GB2312" w:cs="宋体"/>
          <w:strike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原已签订的预征收补偿协议，自本决定公告之日起自动转为正式征收补偿协议，无需再另行签订正式的征收补偿协议。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国有土地上的房屋被依法征收的，国有土地使用权同时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被依法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收回。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被征收人对本决定不服的，可在本决定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之日起60日内向上一级人民政府申请行政复议或者在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6个月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内向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上级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人民法院提起行政诉讼。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F39F8"/>
    <w:rsid w:val="5C4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2025-03-17T02:47:00Z</dcterms:created>
  <dc:creator>Administrator</dc:creator>
  <cp:lastModifiedBy>Administrator</cp:lastModifiedBy>
  <dcterms:modified xsi:type="dcterms:W3CDTF">2025-03-17T02:48:30Z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3035DFA4114F41649C24D7269F62F1D8</vt:lpwstr>
  </property>
</Properties>
</file>