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outlineLvl w:val="0"/>
        <w:rPr>
          <w:rFonts w:ascii="方正小标宋简体" w:hAnsi="方正小标宋简体" w:eastAsia="方正小标宋简体"/>
          <w:color w:val="000000" w:themeColor="text1"/>
          <w:sz w:val="44"/>
          <w:szCs w:val="44"/>
          <w14:textFill>
            <w14:solidFill>
              <w14:schemeClr w14:val="tx1"/>
            </w14:solidFill>
          </w14:textFill>
        </w:rPr>
      </w:pPr>
      <w:bookmarkStart w:id="3" w:name="_GoBack"/>
      <w:r>
        <w:rPr>
          <w:rFonts w:hint="eastAsia" w:ascii="方正小标宋简体" w:hAnsi="方正小标宋简体" w:eastAsia="方正小标宋简体"/>
          <w:color w:val="000000" w:themeColor="text1"/>
          <w:sz w:val="44"/>
          <w:szCs w:val="44"/>
          <w:lang w:eastAsia="zh-CN"/>
          <w14:textFill>
            <w14:solidFill>
              <w14:schemeClr w14:val="tx1"/>
            </w14:solidFill>
          </w14:textFill>
        </w:rPr>
        <w:t>三元区文体和旅游局涉企检查事项清单</w:t>
      </w:r>
    </w:p>
    <w:bookmarkEnd w:id="3"/>
    <w:p>
      <w:pPr>
        <w:pStyle w:val="2"/>
        <w:spacing w:before="0" w:after="0"/>
        <w:rPr>
          <w:rFonts w:ascii="黑体" w:hAnsi="黑体" w:eastAsia="黑体"/>
          <w:b w:val="0"/>
          <w:bCs w:val="0"/>
          <w:kern w:val="2"/>
          <w:sz w:val="32"/>
          <w:szCs w:val="32"/>
        </w:rPr>
      </w:pPr>
      <w:r>
        <w:rPr>
          <w:rFonts w:hint="eastAsia" w:ascii="黑体" w:hAnsi="黑体" w:eastAsia="黑体"/>
          <w:b w:val="0"/>
          <w:bCs w:val="0"/>
          <w:kern w:val="2"/>
          <w:sz w:val="32"/>
          <w:szCs w:val="32"/>
        </w:rPr>
        <w:t>一、文化</w:t>
      </w:r>
    </w:p>
    <w:tbl>
      <w:tblPr>
        <w:tblStyle w:val="6"/>
        <w:tblW w:w="12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0"/>
        <w:gridCol w:w="1688"/>
        <w:gridCol w:w="8128"/>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7" w:hRule="atLeas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688"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事项</w:t>
            </w:r>
          </w:p>
        </w:tc>
        <w:tc>
          <w:tcPr>
            <w:tcW w:w="8128" w:type="dxa"/>
            <w:vMerge w:val="restart"/>
            <w:shd w:val="clear" w:color="auto" w:fill="auto"/>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依据</w:t>
            </w:r>
          </w:p>
        </w:tc>
        <w:tc>
          <w:tcPr>
            <w:tcW w:w="2025" w:type="dxa"/>
            <w:vMerge w:val="restart"/>
            <w:shd w:val="clear" w:color="auto" w:fill="auto"/>
            <w:vAlign w:val="center"/>
          </w:tcPr>
          <w:p>
            <w:pPr>
              <w:widowControl/>
              <w:snapToGrid w:val="0"/>
              <w:spacing w:line="0" w:lineRule="atLeast"/>
              <w:jc w:val="center"/>
              <w:rPr>
                <w:rFonts w:hint="default" w:ascii="宋体" w:hAnsi="宋体" w:eastAsia="宋体" w:cs="宋体"/>
                <w:b/>
                <w:bCs/>
                <w:color w:val="000000" w:themeColor="text1"/>
                <w:kern w:val="0"/>
                <w:sz w:val="16"/>
                <w:szCs w:val="16"/>
                <w:lang w:val="en-US" w:eastAsia="zh-CN"/>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60"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1" w:firstLineChars="200"/>
              <w:rPr>
                <w:rFonts w:ascii="宋体" w:hAnsi="宋体" w:eastAsia="宋体" w:cs="宋体"/>
                <w:b/>
                <w:bCs/>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擅自从事营业性演出经营活动等行为</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未经批准举办营业性演出</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第十五条：举办外国的文艺表演团体、个人参加的营业性演出，演出举办单位应当向演出所在地省、自治区、直辖市人民政府文化主管部门提出申请。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变更演出举办单位、参加演出的文艺表演团体、演员或者节目未重新报批</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第四十四条：违反本条例第十三条、第十五条规定，未经批准举办营业性演出的，由县级人民政府文化主管部门责令停止演出，没收违法所得，并处违法所得</w:t>
            </w:r>
            <w:r>
              <w:rPr>
                <w:rFonts w:ascii="宋体" w:hAnsi="宋体" w:eastAsia="宋体" w:cs="宋体"/>
                <w:color w:val="000000" w:themeColor="text1"/>
                <w:kern w:val="0"/>
                <w:sz w:val="16"/>
                <w:szCs w:val="16"/>
                <w14:textFill>
                  <w14:solidFill>
                    <w14:schemeClr w14:val="tx1"/>
                  </w14:solidFill>
                </w14:textFill>
              </w:rPr>
              <w:t>8倍以上10倍以下的罚款；没有违法所得或者违法所得不足1万元的，并处5万元以上10万元以下的罚款；情节严重的，由原发证机关吊销营业性演出许可证。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w:t>
            </w:r>
            <w:r>
              <w:rPr>
                <w:rFonts w:ascii="宋体" w:hAnsi="宋体" w:eastAsia="宋体" w:cs="宋体"/>
                <w:color w:val="000000" w:themeColor="text1"/>
                <w:kern w:val="0"/>
                <w:sz w:val="16"/>
                <w:szCs w:val="16"/>
                <w14:textFill>
                  <w14:solidFill>
                    <w14:schemeClr w14:val="tx1"/>
                  </w14:solidFill>
                </w14:textFill>
              </w:rPr>
              <w:t>3万元以下的罚款。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第十六条第三款：营业性演出需要变更申请材料所列事项的，应当分别依照本条例第十三条、第十五条规定重新报批。</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变更演出的名称、时间、地点、场次未重新报批等行为</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第十六条：申请举办营业性演出，提交的申请材料应当包括下列内容：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（一）演出名称、演出举办单位和参加演出的文艺表演团体、演员；</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（二）演出时间、地点、场次；</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（三）节目及其视听资料。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申请举办营业性组台演出，还应当提交文艺表演团体、演员同意参加演出的书面函件。</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营业性演出需要变更申请材料所列事项的，应当分别依照本条例第十四条、第十六条规定重新报批。</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0"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为未经批准的营业性演出提供场地</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85"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伪造、变造、出租、出借、买卖营业性演出许可证、批准文件，或者以非法手段取得营业性演出许可证、批准文件</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第三十一条：任何单位或者个人不得伪造、变造、出租、出借或者买卖营业性演出许可证、批准文件或者营业执照，不得伪造、变造营业性演出门票或者倒卖伪造、变造的营业性演出门票。</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0"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有《营业性演出管理条例》第二十五条禁止情形</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7"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4"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3"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4"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32"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演出场所经营单位、演出举办单位发现营业性演出</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有《营业性演出管理条例》第二十五条禁止情形未采取措施予以制止</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00"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演出场所经营单位、演出举办单位发现营业性演出</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有《营业性演出管理条例》第二十五条禁止情形未依照《营业性演出管理条例》第二十六条规定报告</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第二十六条：演出场所经营单位、演出举办单位发现营业性演出有本条例第二十五条禁止情形的，应当立即采取措施予以制止并同时向演出所在地县级人民政府文化主管部门、公安部门报告。</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65"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演出举办单位、文艺表演团体、演员</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因不可抗力中止、停止或者退出演出等行为</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第一款第一、二、三项：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第二、三款：有前款第（一）项、第（二）项和第（三）项所列行为之一的，观众有权在退场后依照有关消费者权益保护的法律规定要求演出举办单位赔偿损失；演出举办单位可以依法向负有责任的文艺表演团体、演员追偿。</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94"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为演员假唱提供条件</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第一款第四项：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四）为演员假唱提供条件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第二、三款：有前款第（一）项、第（二）项和第（三）项所列行为之一的，观众有权在退场后依照有关消费者权益保护的法律规定要求演出举办单位赔偿损失；演出举办单位可以依法向负有责任的文艺表演团体、演员追偿。</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以政府或者政府部门的名义举办营业性演出，或者营业性演出冠以“中国”、“中华”、“全国”、“国际”等字样</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3" w:hRule="atLeas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13</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演出举办单位或者其法定代表人、主要负责人及其他直接责任人员在募捐义演中获取经济利益</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3"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3"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3"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文艺表演团体</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变更名称、住所、法定代表人或者主要负责人未向原发证机关申请换发营业性演出许可证</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第一款：违反本条例第八条第一款规定，变更名称、住所、法定代表人或者主要负责人未向原发证机关申请换发营业性演出许可证的，由县级人民政府文化主管部门责令改正，给予警告，并处1万元以上3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第八条第一款：文艺表演团体变更名称、住所、法定代表人或者主要负责人、营业性演出经营项目，应当向原发证机关申请换发营业性演出许可证，并依法到工商行政管理部门办理变更登记。</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15</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未在领取营业执照之日起20日内向所在地县级人民政府文化主管部门备案等行为</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第五十条第二款：违反本条例第七条第二款、第八条第二款、第九条第二款规定，未办理备案手续的，由县级人民政府文化主管部门责令改正，给予警告，并处5000元以上1万元以下的罚款。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第七条第二款：演出场所经营单位应当自领取营业执照之日起20日内向所在地县级人民政府文化主管部门备案。</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第八条第二款：演出场所经营单位变更名称、住所、法定代表人或者主要负责人，应当依法到工商行政管理部门办理变更登记，并向原备案机关重新备案。</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第九条第二款：个体演员、个体演出经纪人应当自领取营业执照之日起20日内向所在地县级人民政府文化主管部门备案。</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43"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演出举办单位印制、</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出售超过核准观众数量的或者观众区域以外的营业性演出门票，造成严重后果</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2025"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17</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在演出前向演出所在地县级人民政府文化和旅游主管部门提交《营业性演出管理条例》第二十条规定的演出场所合格证明而举办临时搭建舞台、看台营业性演出</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一条：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第十五条：申请举办营业性演出，应当持营业性演出许可证或者备案证明，向文化和旅游主管部门提交符合《条例》第十六条规定的文件。</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申请举办临时搭建舞台、看台的营业性演出，还应当提交符合《条例》第二十条第二、三项规定的文件。</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对经批准的临时搭建舞台、看台的演出活动，演出举办单位还应当在演出前向演出所在地县级人民政府文化和旅游主管部门提交符合《条例》第二十条第一项规定的文件，不符合规定条件的，演出活动不得举行。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0"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18</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举办营业性涉外或者涉港澳台演出，隐瞒近2年内违反《营业性演出管理条例》规定的记录，提交虚假书面声明</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第四十二条：举办营业性涉外或者涉港澳台演出，隐瞒近2年内违反《条例》规定的记录，提交虚假书面声明的，由负责审批的文化和旅游主管部门处以3万元以下罚款。</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19</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经批准到艺术院校从事教学、研究工作的外国或者港澳台艺术人员擅自从事营业性演出</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违反本实施细则第十八条规定，经批准到艺术院校从事教学、研究工作的外国或者港澳台艺术人员擅自从事营业性演出的，由县级人民政府文化和旅游主管部门依照《条例》第四十三条规定给予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第十八条：经批准到艺术院校从事教学、研究工作的外国或者港澳台艺术人员从事营业性演出的，应当委托演出经纪机构承办。</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违反本条例第七条、第九条规定，擅自设立演出场所经营单位或者擅自从事营业性演出经营活动的，由工商行政管理部门依法予以取缔、处罚；构成犯罪的，依法追究刑事责任。</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3"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是否在</w:t>
            </w:r>
            <w:r>
              <w:rPr>
                <w:rFonts w:hint="eastAsia" w:ascii="宋体" w:hAnsi="宋体" w:eastAsia="宋体" w:cs="宋体"/>
                <w:color w:val="000000" w:themeColor="text1"/>
                <w:kern w:val="0"/>
                <w:sz w:val="16"/>
                <w:szCs w:val="16"/>
                <w14:textFill>
                  <w14:solidFill>
                    <w14:schemeClr w14:val="tx1"/>
                  </w14:solidFill>
                </w14:textFill>
              </w:rPr>
              <w:t>非演出场所经营单位擅自举办演出</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第四十五条：违反本实施细则第十九条规定，非演出场所经营单位擅自举办演出的，由县级人民政府文化和旅游主管部门依照《条例》第四十三条规定给予处罚。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第十九条：歌舞娱乐场所、旅游景区、主题公园、游乐园、宾馆、饭店、酒吧、餐饮场所等非演出场所经营单位需要在本场所内举办营业性演出的，应当委托演出经纪机构承办。</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在上述场所举办驻场涉外演出，应当报演出所在地省级人民政府文化和旅游主管部门审批。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21</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在演播厅外从事符合《营业性演出管理条例实施细则》第二条规定条件的电视文艺节目的现场录制，未办理审批手续</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违反本实施细则第二十一条规定，在演播厅外从事符合本实施细则第二条规定条件的电视文艺节目的现场录制，未办理审批手续的，由县级人民政府文化和旅游主管部门依照《条例》第四十三条规定给予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第二十一条：在演播厅外从事电视文艺节目的现场录制，符合本实施细则第二条规定条件的，应当依照《条例》和本实施细则的规定办理审批手续。</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22</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擅自举办募捐义演或者其他公益性演出</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第四十八条：违反本实施细则第二十二条规定，擅自举办募捐义演或者其他公益性演出的，由县级以上人民政府文化和旅游主管部门依照《条例》第四十三条规定给予处罚。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第二十二条：举办募捐义演，应当依照《条例》和本实施细则的规定办理审批手续。</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参加募捐义演的演职人员不得获取演出报酬；演出举办单位或者演员应当将扣除成本后的演出收入捐赠给社会公益事业，不得从中获取利润。</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演出收入是指门票收入、捐赠款物、赞助收入等与演出活动相关的全部收入。演出成本是指演职员食、宿、交通费用和舞台灯光音响、服装道具、场地、宣传等费用。</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募捐义演结束后10日内，演出举办单位或者演员应当将演出收支结算报审批机关备案。</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举办其他符合本实施细则第二条所述方式的公益性演出，参照本条规定执行。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83"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23</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在演出经营活动中，不履行应尽义务，倒卖、转让演出活动经营权</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第四十九条：违反本实施细则第二十三条、第二十四条规定，在演出经营活动中，不履行应尽义务，倒卖、转让演出活动经营权的，由县级人民政府文化和旅游主管部门依照《条例》第四十五条规定给予处罚。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和旅游主管部门的监督管理；（七）其他依法需要承担的义务。</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第二十四条：举办营业性涉外或者涉港澳台演出，举办单位应当负责统一办理外国或者港澳台文艺表演团体、个人的入出境手续，巡回演出的还要负责其全程联络和节目安排。</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第三十一条：任何单位或者个人不得伪造、变造、出租、出借或者买卖营业性演出许可证、批准文件或者营业执照，不得伪造、变造营业性演出门票或者倒卖伪造、变造的营业性演出门票。</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24</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未经批准，擅自出售演出门票</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第五十条：违反本实施细则第二十五条规定，未经批准，擅自出售演出门票的，由县级人民政府文化和旅游主管部门责令停止违法活动，并处3万元以下罚款。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第二十五条：营业性演出活动经批准后方可出售门票。</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25</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以假演奏等手段欺骗观众</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第五十一条第二款：以假演奏等手段欺骗观众的，由县级人民政府文化和旅游主管部门依照《条例》第四十七条的规定给予处罚。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98" w:hRule="atLeas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26</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w:t>
            </w:r>
            <w:r>
              <w:rPr>
                <w:rFonts w:hint="eastAsia" w:ascii="宋体" w:hAnsi="宋体" w:eastAsia="宋体" w:cs="宋体"/>
                <w:color w:val="000000" w:themeColor="text1"/>
                <w:kern w:val="0"/>
                <w:sz w:val="16"/>
                <w:szCs w:val="16"/>
                <w:lang w:eastAsia="zh-CN"/>
                <w14:textFill>
                  <w14:solidFill>
                    <w14:schemeClr w14:val="tx1"/>
                  </w14:solidFill>
                </w14:textFill>
              </w:rPr>
              <w:t>有无</w:t>
            </w:r>
            <w:r>
              <w:rPr>
                <w:rFonts w:hint="eastAsia" w:ascii="宋体" w:hAnsi="宋体" w:eastAsia="宋体" w:cs="宋体"/>
                <w:color w:val="000000" w:themeColor="text1"/>
                <w:kern w:val="0"/>
                <w:sz w:val="16"/>
                <w:szCs w:val="16"/>
                <w14:textFill>
                  <w14:solidFill>
                    <w14:schemeClr w14:val="tx1"/>
                  </w14:solidFill>
                </w14:textFill>
              </w:rPr>
              <w:t>现场演唱、演奏记录</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第五十一条第一款：违反本实施细则第二十六条规定，演出举办单位没有现场演唱、演奏记录的，由县级人民政府文化和旅游主管部门处以3000元以下罚款。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第二十六条：营业性演出不得以假唱、假演奏等手段欺骗观众。</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前款所称假唱、假演奏是指演员在演出过程中，使用事先录制好的歌曲、乐曲代替现场演唱、演奏的行为。</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演出举办单位应当派专人对演唱、演奏行为进行监督，并作出记录备查。记录内容包括演员、乐队、曲目的名称和演唱、演奏过程的基本情况，并由演出举办单位负责人和监督人员签字确认。</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4"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6"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27</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文化和旅游主管部门或者文化市场综合执法机构检查营业性演出现场，演出举办单位拒不接受检查</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二条：县级以上人民政府文化和旅游主管部门或者文化市场综合执法机构检查营业性演出现场，演出举办单位拒不接受检查的，由县级以上人民政府文化和旅游主管部门或者文化市场综合执法机构处以3万元以下罚款。</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28</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经批准的涉外演出在批准的时间内增加演出地，未到演出所在地省级人民政府文化和旅游主管部门备案</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《营业性演出管理条例实施细则》（2009年文化部令第47号公布，2017年文化部令第57号、2022年文化和旅游部令第9号修订）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 ：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29</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擅自从事娱乐场所经营活动</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第四十一条：违反本条例规定，擅自从事娱乐场所经营活动的，由文化主管部门依法予以取缔；公安部门在查处治安、刑事案件时，发现擅自从事娱乐场所经营活动的，应当依法予以取缔。</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2.《娱乐场所管理办法》（2013年文化部令第55号公布，2017年文化部令第57号、2022年文化和旅游部令第10号修订）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八条：违反《条例》规定，擅自从事娱乐场所经营活动的，由县级以上人民政府文化和旅游主管部门依照《条例》第四十一条采取责令关闭等方式予以取缔，有违法所得的，依照《中华人民共和国行政处罚法》第二十八条予以没收；符合严重失信主体情形的，依照有关规定予以认定并实施相应信用管理措施。</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80"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34"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30</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实施《娱乐场所管理条例》第十四条禁止行为，情节严重</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第四十三条：娱乐场所实施本条例第十四条禁止行为的，由县级公安部门没收违法所得和非法财物，责令停业整顿3个月至6个月；</w:t>
            </w:r>
            <w:r>
              <w:rPr>
                <w:rFonts w:hint="eastAsia" w:ascii="宋体" w:hAnsi="宋体" w:eastAsia="宋体" w:cs="宋体"/>
                <w:color w:val="0000FF"/>
                <w:kern w:val="0"/>
                <w:sz w:val="16"/>
                <w:szCs w:val="16"/>
              </w:rPr>
              <w:t>情节严重的，由原发证机关吊销娱乐经营许可证，对直接负责的主管人员和其他直接责任人员处1万元以上2万元以下的罚款</w:t>
            </w:r>
            <w:r>
              <w:rPr>
                <w:rFonts w:hint="eastAsia" w:ascii="宋体" w:hAnsi="宋体" w:eastAsia="宋体" w:cs="宋体"/>
                <w:color w:val="000000" w:themeColor="text1"/>
                <w:kern w:val="0"/>
                <w:sz w:val="16"/>
                <w:szCs w:val="16"/>
                <w14:textFill>
                  <w14:solidFill>
                    <w14:schemeClr w14:val="tx1"/>
                  </w14:solidFill>
                </w14:textFill>
              </w:rPr>
              <w:t>。</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四条：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w:t>
            </w:r>
            <w:r>
              <w:rPr>
                <w:rFonts w:hint="eastAsia" w:ascii="宋体" w:hAnsi="宋体" w:eastAsia="宋体" w:cs="宋体"/>
                <w:color w:val="0000FF"/>
                <w:kern w:val="0"/>
                <w:sz w:val="16"/>
                <w:szCs w:val="16"/>
              </w:rPr>
              <w:t>（四）提供或者从事以营利为目的的陪侍；</w:t>
            </w:r>
            <w:r>
              <w:rPr>
                <w:rFonts w:hint="eastAsia" w:ascii="宋体" w:hAnsi="宋体" w:eastAsia="宋体" w:cs="宋体"/>
                <w:color w:val="000000" w:themeColor="text1"/>
                <w:kern w:val="0"/>
                <w:sz w:val="16"/>
                <w:szCs w:val="16"/>
                <w14:textFill>
                  <w14:solidFill>
                    <w14:schemeClr w14:val="tx1"/>
                  </w14:solidFill>
                </w14:textFill>
              </w:rPr>
              <w:t>（五）赌博；（六）从事邪教、迷信活动；（七）其他违法犯罪行为。</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娱乐场所的从业人员不得吸食、注射毒品，不得卖淫、嫖娼；娱乐场所及其从业人员不得为进入娱乐场所的人员实施上述行为提供条件。</w:t>
            </w:r>
          </w:p>
        </w:tc>
        <w:tc>
          <w:tcPr>
            <w:tcW w:w="2025"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51"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31</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指使、纵容从业人员侵害消费者人身权利，造成严重后果</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第四十六条：娱乐场所指使、纵容从业人员侵害消费者人身权利的，应当依法承担民事责任，并由县级公安部门责令停业整顿1个月至3个月；造成严重后果的，由原发证机关吊销娱乐经营许可证。</w:t>
            </w:r>
          </w:p>
        </w:tc>
        <w:tc>
          <w:tcPr>
            <w:tcW w:w="2025"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2"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32</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歌舞娱乐场所的歌曲点播系统</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与境外的曲库联接</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一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33</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歌舞娱乐场所播放的曲目、屏幕画面或者游艺娱乐场所电子游戏机内的游戏项目是否含有禁止内容</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二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二）歌舞娱乐场所播放的曲目、屏幕画面或者游艺娱乐场所电子游戏机内的游戏项目含有本条例第十三条禁止内容的；</w:t>
            </w:r>
          </w:p>
        </w:tc>
        <w:tc>
          <w:tcPr>
            <w:tcW w:w="2025"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11"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tcBorders/>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10"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34</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娱乐场所容纳的消费者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超过核定人数</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五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五）娱乐场所容纳的消费者超过核定人数的。</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3"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bookmarkStart w:id="0" w:name="_Hlk160700766"/>
            <w:r>
              <w:rPr>
                <w:rFonts w:hint="eastAsia" w:ascii="宋体" w:hAnsi="宋体" w:eastAsia="宋体" w:cs="宋体"/>
                <w:color w:val="000000" w:themeColor="text1"/>
                <w:kern w:val="0"/>
                <w:sz w:val="16"/>
                <w:szCs w:val="16"/>
                <w14:textFill>
                  <w14:solidFill>
                    <w14:schemeClr w14:val="tx1"/>
                  </w14:solidFill>
                </w14:textFill>
              </w:rPr>
              <w:t>35</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娱乐场所变更有关事项，</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按照《娱乐场所管理条例》规定申请重新核发娱乐经营许可证等行为</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九条第一、三项：娱乐场所违反本条例规定，有下列情形之一的，由县级人民政府文化主管部门责令改正，给予警告；情节严重的，责令停业整顿1个月至3个月：(一)变更有关事项，未按照本条例规定申请重新核发娱乐经营许可证的；(三)从业人员在营业期间未统一着装并佩带工作标志的。</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7"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36</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在《娱乐场所管理条例》规定的禁止营业时间内营业等行为</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第四十九条第二项：娱乐场所违反本条例规定，有下列情形之一的，由县级人民政府文化主管部门责令改正，给予警告；情节严重的，责令停业整顿1个月至3个月；(二)在本条例规定的禁止营业时间内营业的；</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9"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37</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按照规定建立从业人员名簿、营业日志，或者发现违法犯罪行为未按照规定报告</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2025" w:type="dxa"/>
            <w:tcBorders/>
            <w:shd w:val="clear" w:color="auto" w:fill="auto"/>
            <w:vAlign w:val="center"/>
          </w:tcPr>
          <w:p>
            <w:pPr>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2"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38</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因违反《娱乐场所管理条例》规定，2年内被处以3次警告或者罚款又有违反《娱乐场所管理条例》的行为应受行政处罚</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39</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游艺娱乐场所设置</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经文化主管部门内容核查的游戏游艺设备等行为</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《娱乐场所管理办法》（2013年文化部令第55号公布，2017年文化部令第57号、2022年文化和旅游部令第10号修订）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第一、二项：游艺娱乐场所经营应当符合以下规定：（一）不得设置未经文化和旅游主管部门内容核查的游戏游艺设备；（二）进行有奖经营活动的，奖品目录应当报所在地县级文化和旅游主管部门备案；</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8" w:hRule="atLeas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1688"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为未经文化主管部门批准的营业性演出活动提供场地</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《娱乐场所管理办法》（2013年文化部令第55号公布，2017年文化部令第57号、2022年文化和旅游部令第10号修订）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第二十二条：娱乐场所不得为未经文化主管部门批准的营业性演出活动提供场地。</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娱乐场所招用外国人从事演出活动的，应当符合《营业性演出管理条例》及《营业性演出管理条例实施细则》的规定。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第三十一条：娱乐场所违反本办法第二十二条第一款规定的，由县级以上人民政府文化和旅游主管部门责令改正，并处5000元以上1万元以下罚款。</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8"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8"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0"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41</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配合文化主管部门的日常检查和技术监管措施</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《娱乐场所管理办法》（2013年文化部令第55号公布，2017年文化部令第57号、2022年文化和旅游部令第10号修订）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第二十五条：娱乐场所应当配合文化主管部门的日常检查和技术监管措施。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第三十四条：娱乐场所违反本办法第二十五条规定的，由县级以上人民政府文化和旅游主管部门予以警告，并处5000元以上1万元以下罚款。</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r>
              <w:rPr>
                <w:rFonts w:ascii="Calibri" w:hAnsi="Calibri" w:eastAsia="宋体" w:cs="Calibri"/>
                <w:color w:val="000000" w:themeColor="text1"/>
                <w:kern w:val="0"/>
                <w:sz w:val="16"/>
                <w:szCs w:val="16"/>
                <w14:textFill>
                  <w14:solidFill>
                    <w14:schemeClr w14:val="tx1"/>
                  </w14:solidFill>
                </w14:textFill>
              </w:rPr>
              <w:t>　</w:t>
            </w: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27"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42</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设立从事艺术品经营活动的经营单位或者其他经营单位增设艺术品经营业务，</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依法到文化行政部门备案</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第十九条：违反本办法第五条规定的，由县级以上人民政府文化行政部门或者依法授权的文化市场综合执法机构责令改正，并可根据情节轻重处10000元以下罚款。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第五条：设立从事艺术品经营活动的经营单位，应当到其住所地县级以上人民政府工商行政管理部门申领营业执照，并在领取营业执照之日起15日内，到其住所地县级以上人民政府文化行政部门备案。</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其他经营单位增设艺术品经营业务的，应当按前款办理备案手续。</w:t>
            </w:r>
          </w:p>
        </w:tc>
        <w:tc>
          <w:tcPr>
            <w:tcW w:w="2025" w:type="dxa"/>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5"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43</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经营含有法定禁止内容的艺术品</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条：禁止经营含有以下内容的艺术品：（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宣扬恐怖活动，散布谣言，扰乱社会秩序，破坏社会稳定的；（七）宣扬淫秽、色情、赌博、暴力或者教唆犯罪的；（八）侮辱或者诽谤他人，侵害他人合法权益的；（九）违背社会公德或者民族优秀文化传统的；（十）蓄意篡改历史、严重歪曲历史的；（十一）有法律、法规和国家规定禁止的其他内容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82"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44</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经营禁止经营的艺术品</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七条：禁止经营以下艺术品：（一）走私、盗窃等来源不合法的艺术品；（二）伪造、变造或者冒充他人名义的艺术品；（三）除有合法手续、准许经营的以外，法律、法规禁止交易的动物、植物、矿物、金属、化石等为材质的艺术品；（四）国家规定禁止交易的其他艺术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2025" w:type="dxa"/>
            <w:tcBorders/>
            <w:shd w:val="clear" w:color="auto" w:fill="auto"/>
            <w:vAlign w:val="center"/>
          </w:tcPr>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8"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45</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向消费者隐瞒艺术品来源，或者在艺术品说明中隐瞒重要事项，误导消费者等行为</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艺术品经营单位不得有以下经营行为：（一）向消费者隐瞒艺术品来源，或者在艺术品说明中隐瞒重要事项，误导消费者的；（二）伪造、变造艺术品来源证明、艺术品鉴定评估文件以及其他交易凭证的；（三）以非法集资为目的或者以非法传销为手段进行经营的；（四）未经批准，将艺术品权益拆分为均等份额公开发行，以集中竞价、做市商等集中交易方式进行交易的；（五）法律、法规和国家规定禁止的其他经营行为。</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00"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46</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对所经营的艺术品标明作者、年代、尺寸、材料、保存状况和销售价格、交易有关的原始凭证、销售合同、台账、账簿等销售记录等信息</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第九条</w:t>
            </w:r>
            <w:r>
              <w:rPr>
                <w:rFonts w:hint="eastAsia" w:ascii="Times New Roman" w:hAnsi="Times New Roman" w:eastAsia="宋体" w:cs="Times New Roman"/>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艺术品经营单位应当遵守以下规定：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（一）对所经营的艺术品应当标明作者、年代、尺寸、材料、保存状况和销售价格等信息；</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（二）保留交易有关的原始凭证、销售合同、台账、账簿等销售记录，法律、法规要求有明确期限的，按照法律、法规规定执行；法律、法规没有明确规定的，保存期不得少于5年。</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w:t>
            </w:r>
            <w:r>
              <w:rPr>
                <w:rFonts w:hint="eastAsia" w:ascii="Times New Roman" w:hAnsi="Times New Roman" w:eastAsia="宋体" w:cs="Times New Roman"/>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艺术品经营单位从事艺术品鉴定、评估等服务，应当遵守以下规定：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（一）与委托人签订书面协议，约定鉴定、评估的事项，鉴定、评估的结论适用范围以及被委托人应当承担的责任；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（二）明示艺术品鉴定、评估程序或者需要告知、提示委托人的事项；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（三）书面出具鉴定、评估结论，鉴定、评估结论应当包括对委托艺术品的全面客观说明，鉴定、评估的程序，做出鉴定、评估结论的证据，鉴定、评估结论的责任说明，并对鉴定、评估结论的真实性负责；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（四）保留书面鉴定、评估结论副本及鉴定、评估人签字等档案不得少于5年。</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w:t>
            </w:r>
            <w:r>
              <w:rPr>
                <w:rFonts w:hint="eastAsia" w:ascii="Times New Roman" w:hAnsi="Times New Roman" w:eastAsia="宋体" w:cs="Times New Roman"/>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违反本办法第九条、第十一条规定的，由县级以上人民政府文化行政部门或者依法授权的文化市场综合执法机构责令改正，并可根据情节轻重处30000元以下罚款。</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90"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47</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从事艺术品鉴定、评估等服务违反规定</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《艺术品经营管理办法》(文化部令第56号)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第二十二条：违反本办法第九条、第十一条规定的，由县级以上人民政府文化行政部门或者依法授权的文化市场综合执法机构责令改正，并可根据情节轻重处30000元以下罚款。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第十一条：艺术品经营单位从事艺术品鉴定、评估等服务，应当遵守以下规定：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（一）与委托人签订书面协议，约定鉴定、评估的事项，鉴定、评估的结论适用范围以及被委托人应当承担的责任；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（二）明示艺术品鉴定、评估程序或者需要告知、提示委托人的事项；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（三）书面出具鉴定、评估结论，鉴定、评估结论应当包括对委托艺术品的全面客观说明，鉴定、评估的程序，做出鉴定、评估结论的证据，鉴定、评估结论的责任说明，并对鉴定、评估结论的真实性负责；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（四）保留书面鉴定、评估结论副本及鉴定、评估人签字等档案不得少于5年。</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r>
              <w:rPr>
                <w:rFonts w:ascii="Calibri" w:hAnsi="Calibri" w:eastAsia="宋体" w:cs="Calibri"/>
                <w:color w:val="000000" w:themeColor="text1"/>
                <w:kern w:val="0"/>
                <w:sz w:val="16"/>
                <w:szCs w:val="16"/>
                <w14:textFill>
                  <w14:solidFill>
                    <w14:schemeClr w14:val="tx1"/>
                  </w14:solidFill>
                </w14:textFill>
              </w:rPr>
              <w:t>　</w:t>
            </w: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82"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48</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违反规定擅自开展艺术品进出口经营活动等行为</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第十八条第一款：任何单位或者个人不得销售或者利用其他商业形式传播未经文化行政部门批准进口的艺术品。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71"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49</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经营性互联网文化单位未按规定办理变更手续</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三条第一款：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第一款：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1"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50</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经营性互联网文化单位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经营互联网文化产品未按规定在其显著位置标明批准文号、备案编号</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　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29" w:hRule="atLeas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51</w:t>
            </w:r>
          </w:p>
        </w:tc>
        <w:tc>
          <w:tcPr>
            <w:tcW w:w="1688"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经营性互联网文化单位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擅自变更进口互联网文化产品的名称或者增删内容</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0"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2"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4"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4"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9" w:hRule="atLeas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52</w:t>
            </w:r>
          </w:p>
        </w:tc>
        <w:tc>
          <w:tcPr>
            <w:tcW w:w="1688"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未经批准擅自从事经营性互联网文化活动</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　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9"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9"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6" w:hRule="atLeas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53</w:t>
            </w:r>
          </w:p>
        </w:tc>
        <w:tc>
          <w:tcPr>
            <w:tcW w:w="1688"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按规定在其网站主页的显著位置标明经营许可证编号或者备案编号</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第二十三条：经营性互联网文化单位违反本规定第十二条的，由县级以上人民政府文化行政部门或者文化市场综合执法机构责令限期改正，并可根据情节轻重处10000元以下罚款。</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　　非经营性互联网文化单位违反本规定第十二条的，由县级以上人民政府文化行政部门或者文化市场综合执法机构责令限期改正；拒不改正的，责令停止互联网文化活动，并处500元以下罚款。</w:t>
            </w:r>
          </w:p>
        </w:tc>
        <w:tc>
          <w:tcPr>
            <w:tcW w:w="2025"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ind w:right="82" w:rightChars="39"/>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76"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0"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54</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经营性互联网文化单位经营国产互联网文化产品</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逾期未报文化行政部门备案</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7"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55</w:t>
            </w:r>
          </w:p>
        </w:tc>
        <w:tc>
          <w:tcPr>
            <w:tcW w:w="1688"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提供含有法定禁止内容或者未经批准进口的互联网文化产品</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1.《互联网信息服务管理办法》(国务院令第292号公布，国务院令第588号修改)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　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　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7" w:hRule="exact"/>
          <w:jc w:val="center"/>
        </w:trPr>
        <w:tc>
          <w:tcPr>
            <w:tcW w:w="560"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7"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41"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56</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经营性互联网文化单位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按规定建立自审制度、配备专业人员负责自查与管理保障互联网文化产品内容和活动的合法性</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第十八条：互联网文化单位应当建立自审制度，明确专门部门，配备专业人员负责互联网文化产品内容和活动的自查与管理，保障互联网文化产品内容和活动的合法性。</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第二十九条：经营性互联网文化单位违反本规定第十八条的，由县级以上人民政府文化行政部门或者文化市场综合执法机构责令改正，并可根据情节轻重处20000元以下罚款。</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41"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57</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互联网文化单位提供的互联网文化产品</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含有法定禁止内容未按规定采取措施</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第十九条：互联网文化单位发现所提供的互联网文化产品含有本规定第十六条所列内容之一的，应当立即停止提供，保存有关记录，向所在地省、自治区、直辖市人民政府文化行政部门报告并抄报文化部。</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第三十条：经营性互联网文化单位违反本规定第十九条的，由县级以上人民政府文化行政部门或者文化市场综合执法机构予以警告，责令限期改正，并处10000元以下罚款。</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58</w:t>
            </w:r>
          </w:p>
        </w:tc>
        <w:tc>
          <w:tcPr>
            <w:tcW w:w="1688"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擅自从事互联网上网服务经营活动</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18"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60"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59</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涂改、出租、出借或者以其他方式转让《网络文化经营许可证》</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76"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60</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利用营业场所制作、下载、复制、查阅、发布、传播或者以其他方式使用含有法定禁止含有的内容的信息情节严重</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第三十条第一款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tc>
        <w:tc>
          <w:tcPr>
            <w:tcW w:w="2025"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4" w:hRule="atLeas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61</w:t>
            </w:r>
          </w:p>
        </w:tc>
        <w:tc>
          <w:tcPr>
            <w:tcW w:w="1688"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在规定的营业时间以外营业</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tc>
        <w:tc>
          <w:tcPr>
            <w:tcW w:w="2025"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4"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4"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4"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8"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79"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62</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经营非网络游戏</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三项：互联网上网服务营业场所经营单位违反本条例的规定，有下列行为之一的，由文化行政部门给予警告，可以并处15000元以下的罚款；情节严重的，责令停业整顿，直至吊销《网络文化经营许可证》：（三）经营非网络游戏的；</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r>
              <w:rPr>
                <w:rFonts w:ascii="Calibri" w:hAnsi="Calibri" w:eastAsia="宋体" w:cs="Calibri"/>
                <w:color w:val="000000" w:themeColor="text1"/>
                <w:kern w:val="0"/>
                <w:sz w:val="16"/>
                <w:szCs w:val="16"/>
                <w14:textFill>
                  <w14:solidFill>
                    <w14:schemeClr w14:val="tx1"/>
                  </w14:solidFill>
                </w14:textFill>
              </w:rPr>
              <w:t>　</w:t>
            </w: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8"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63</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擅自停止实施经营管理技术措施</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四项：互联网上网服务营业场所经营单位违反本条例的规定，有下列行为之一的，由文化行政部门给予警告，可以并处15000元以下的罚款；情节严重的，责令停业整顿，直至吊销《网络文化经营许可证》：（四）擅自停止实施经营管理技术措施的；</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r>
              <w:rPr>
                <w:rFonts w:ascii="Calibri" w:hAnsi="Calibri" w:eastAsia="宋体" w:cs="Calibri"/>
                <w:color w:val="000000" w:themeColor="text1"/>
                <w:kern w:val="0"/>
                <w:sz w:val="16"/>
                <w:szCs w:val="16"/>
                <w14:textFill>
                  <w14:solidFill>
                    <w14:schemeClr w14:val="tx1"/>
                  </w14:solidFill>
                </w14:textFill>
              </w:rPr>
              <w:t>　</w:t>
            </w: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3"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64</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悬挂《网络文化经营许可证》</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五项：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r>
              <w:rPr>
                <w:rFonts w:ascii="Calibri" w:hAnsi="Calibri" w:eastAsia="宋体" w:cs="Calibri"/>
                <w:color w:val="000000" w:themeColor="text1"/>
                <w:kern w:val="0"/>
                <w:sz w:val="16"/>
                <w:szCs w:val="16"/>
                <w14:textFill>
                  <w14:solidFill>
                    <w14:schemeClr w14:val="tx1"/>
                  </w14:solidFill>
                </w14:textFill>
              </w:rPr>
              <w:t>　</w:t>
            </w: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23"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65</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向上网消费者提供的计算机未通过局域网的方式接入互联网</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一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77"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66</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建立场内巡查制度或者发现上网消费者的违法行为未予制止并按规定举报</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二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二）未建立场内巡查制度，或者发现上网消费者的违法行为未予制止并向文化行政部门、公安机关举报的；</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88"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67</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按规定核对、登记上网消费者的有效身份证件或者记录有关上网信息</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者记录有关上网信息的；</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35"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68</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按规定时间保存登记内容、记录备份或者在保存期内修改、删除登记内容、记录备份</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四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四）未按规定时间保存登记内容、记录备份，或者在保存期内修改、删除登记内容、记录备份的；</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94"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69</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互联网上网服务营业场所经营单位变更事项或者终止经营活动</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按规定办理手续或者备案</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五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五）变更名称、住所、法定代表人或者主要负责人、注册资本、网络地址或者终止经营活动，未向文化行政部门、公安机关办理有关手续或者备案的。</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70</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利用明火照明或者发现吸烟不予制止，或者未悬挂禁止吸烟标志等行为，情节严重</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2025"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8" w:hRule="exac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71</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未经批准擅自开办艺术考级活动</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《社会艺术水平考级管理办法》（2004年文化部令第31号公布，2017年文化部令第57号修订）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第二十四条：未经批准擅自开办艺术考级活动的，由县级以上文化行政部门或者文化市场综合执法机构责令停止违法活动，并处10000元以上30000元以下罚款。</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95"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72</w:t>
            </w:r>
          </w:p>
        </w:tc>
        <w:tc>
          <w:tcPr>
            <w:tcW w:w="1688"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艺术考级机构组织艺术考级活动前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向社会发布考级简章或考级简章内容不符合规定等行为</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《社会艺术水平考级管理办法》（2004年文化部令第31号公布，2017年文化部令第57号修订）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73</w:t>
            </w:r>
          </w:p>
        </w:tc>
        <w:tc>
          <w:tcPr>
            <w:tcW w:w="1688"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艺术考级机构委托的承办单位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符合规定</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《社会艺术水平考级管理办法》（2004年文化部令第31号公布，2017年文化部令第57号修订）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艺术考级机构有下列行为之一的，由文化行政部门或者文化市场综合执法机构予以警告，责令改正并处30000元以下罚款；情节严重的，取消开办艺术考级活动资格：（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c>
          <w:tcPr>
            <w:tcW w:w="2025"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8" w:hRule="exac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tcBorders/>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36" w:hRule="atLeast"/>
          <w:jc w:val="center"/>
        </w:trPr>
        <w:tc>
          <w:tcPr>
            <w:tcW w:w="560"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74</w:t>
            </w:r>
          </w:p>
        </w:tc>
        <w:tc>
          <w:tcPr>
            <w:tcW w:w="1688" w:type="dxa"/>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在学校、幼儿园周边设置营业性娱乐场所、互联网上网服务营业场所处罚</w:t>
            </w:r>
          </w:p>
        </w:tc>
        <w:tc>
          <w:tcPr>
            <w:tcW w:w="812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法律：《未成年人保护法》（2020年10月17日修订）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7" w:hRule="atLeas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75</w:t>
            </w:r>
          </w:p>
        </w:tc>
        <w:tc>
          <w:tcPr>
            <w:tcW w:w="1688"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营业性歌舞娱乐场所、互联网上网服务营业场所、游艺娱乐场所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在显著位置设置未成年人禁入、限入标志</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1.法律：《未成年人保护法》（2020年10月17日修订）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2.《娱乐场所管理条例》（国务院令第458号公布，国务院令第666号、第732号修订）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第五十一条：娱乐场所未按照本条例规定悬挂警示标志、未成年人禁入或者限入标志的，由县级人民政府文化主管部门、县级公安部门依据法定职权责令改正，给予警告。</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3.《娱乐场所管理办法》（2013年文化部令第55号公布，2017年文化部令第57号、2022年文化和旅游部令第10号修订）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第二十四条：娱乐场所应当在显著位置悬挂娱乐经营许可证、未成年人禁入或者限入标志，标志应当注明举报电话。</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第三十三条：娱乐场所违反本办法第二十四条规定的，由县级以上人民政府文化和旅游主管部门责令改正，予以警告。</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4．《互联网上网服务营业场所管理条例》（国务院令第363号公布，国务院令第588号、第666号、第710号、第752号修订）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五项：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2025"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9"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90"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75" w:hRule="atLeast"/>
          <w:jc w:val="center"/>
        </w:trPr>
        <w:tc>
          <w:tcPr>
            <w:tcW w:w="5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560" w:type="dxa"/>
            <w:vMerge w:val="restart"/>
            <w:shd w:val="clear" w:color="auto" w:fill="auto"/>
            <w:vAlign w:val="center"/>
          </w:tcPr>
          <w:p>
            <w:pPr>
              <w:widowControl/>
              <w:snapToGrid w:val="0"/>
              <w:spacing w:line="0" w:lineRule="atLeast"/>
              <w:jc w:val="center"/>
              <w:rPr>
                <w:rFonts w:ascii="宋体" w:hAnsi="宋体" w:eastAsia="宋体" w:cs="宋体"/>
                <w:kern w:val="0"/>
                <w:sz w:val="16"/>
                <w:szCs w:val="16"/>
              </w:rPr>
            </w:pPr>
            <w:r>
              <w:rPr>
                <w:rFonts w:hint="eastAsia" w:ascii="宋体" w:hAnsi="宋体" w:eastAsia="宋体" w:cs="宋体"/>
                <w:kern w:val="0"/>
                <w:sz w:val="16"/>
                <w:szCs w:val="16"/>
              </w:rPr>
              <w:t>76</w:t>
            </w:r>
          </w:p>
        </w:tc>
        <w:tc>
          <w:tcPr>
            <w:tcW w:w="1688" w:type="dxa"/>
            <w:vMerge w:val="restart"/>
            <w:shd w:val="clear" w:color="auto" w:fill="auto"/>
            <w:vAlign w:val="center"/>
          </w:tcPr>
          <w:p>
            <w:pPr>
              <w:widowControl/>
              <w:snapToGrid w:val="0"/>
              <w:spacing w:line="0" w:lineRule="atLeast"/>
              <w:rPr>
                <w:rFonts w:hint="eastAsia" w:ascii="宋体" w:hAnsi="宋体" w:eastAsia="宋体" w:cs="宋体"/>
                <w:color w:val="0000FF"/>
                <w:kern w:val="0"/>
                <w:sz w:val="16"/>
                <w:szCs w:val="16"/>
                <w:lang w:eastAsia="zh-CN"/>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FF"/>
                <w:kern w:val="0"/>
                <w:sz w:val="16"/>
                <w:szCs w:val="16"/>
              </w:rPr>
              <w:t>允许未成年人进入营业性歌舞娱乐场所、互联网上网服务营业场所等行为</w:t>
            </w:r>
          </w:p>
        </w:tc>
        <w:tc>
          <w:tcPr>
            <w:tcW w:w="812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FF"/>
                <w:kern w:val="0"/>
                <w:sz w:val="16"/>
                <w:szCs w:val="16"/>
              </w:rPr>
            </w:pPr>
            <w:r>
              <w:rPr>
                <w:rFonts w:hint="eastAsia" w:ascii="宋体" w:hAnsi="宋体" w:eastAsia="宋体" w:cs="宋体"/>
                <w:color w:val="0000FF"/>
                <w:kern w:val="0"/>
                <w:sz w:val="16"/>
                <w:szCs w:val="16"/>
              </w:rPr>
              <w:t>1.法律：《未成年人保护法》（2020年10月17日修订）</w:t>
            </w:r>
          </w:p>
          <w:p>
            <w:pPr>
              <w:widowControl/>
              <w:snapToGrid w:val="0"/>
              <w:spacing w:line="0" w:lineRule="atLeast"/>
              <w:ind w:firstLine="320" w:firstLineChars="200"/>
              <w:rPr>
                <w:rFonts w:ascii="宋体" w:hAnsi="宋体" w:eastAsia="宋体" w:cs="宋体"/>
                <w:color w:val="0000FF"/>
                <w:kern w:val="0"/>
                <w:sz w:val="16"/>
                <w:szCs w:val="16"/>
              </w:rPr>
            </w:pPr>
            <w:r>
              <w:rPr>
                <w:rFonts w:hint="eastAsia" w:ascii="宋体" w:hAnsi="宋体" w:eastAsia="宋体" w:cs="宋体"/>
                <w:color w:val="0000FF"/>
                <w:kern w:val="0"/>
                <w:sz w:val="16"/>
                <w:szCs w:val="16"/>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widowControl/>
              <w:snapToGrid w:val="0"/>
              <w:spacing w:line="0" w:lineRule="atLeast"/>
              <w:ind w:firstLine="320" w:firstLineChars="200"/>
              <w:rPr>
                <w:rFonts w:ascii="宋体" w:hAnsi="宋体" w:eastAsia="宋体" w:cs="宋体"/>
                <w:color w:val="0000FF"/>
                <w:kern w:val="0"/>
                <w:sz w:val="16"/>
                <w:szCs w:val="16"/>
              </w:rPr>
            </w:pPr>
            <w:r>
              <w:rPr>
                <w:rFonts w:hint="eastAsia" w:ascii="宋体" w:hAnsi="宋体" w:eastAsia="宋体" w:cs="宋体"/>
                <w:color w:val="0000FF"/>
                <w:kern w:val="0"/>
                <w:sz w:val="16"/>
                <w:szCs w:val="16"/>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widowControl/>
              <w:snapToGrid w:val="0"/>
              <w:spacing w:line="0" w:lineRule="atLeast"/>
              <w:ind w:firstLine="320" w:firstLineChars="200"/>
              <w:rPr>
                <w:rFonts w:ascii="宋体" w:hAnsi="宋体" w:eastAsia="宋体" w:cs="宋体"/>
                <w:color w:val="0000FF"/>
                <w:kern w:val="0"/>
                <w:sz w:val="16"/>
                <w:szCs w:val="16"/>
              </w:rPr>
            </w:pPr>
          </w:p>
        </w:tc>
        <w:tc>
          <w:tcPr>
            <w:tcW w:w="2025"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FF"/>
                <w:kern w:val="0"/>
                <w:sz w:val="16"/>
                <w:szCs w:val="16"/>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50" w:hRule="exact"/>
          <w:jc w:val="center"/>
        </w:trPr>
        <w:tc>
          <w:tcPr>
            <w:tcW w:w="560" w:type="dxa"/>
            <w:vMerge w:val="continue"/>
            <w:vAlign w:val="center"/>
          </w:tcPr>
          <w:p>
            <w:pPr>
              <w:widowControl/>
              <w:snapToGrid w:val="0"/>
              <w:spacing w:line="0" w:lineRule="atLeast"/>
              <w:jc w:val="center"/>
              <w:rPr>
                <w:rFonts w:ascii="宋体" w:hAnsi="宋体" w:eastAsia="宋体" w:cs="宋体"/>
                <w:kern w:val="0"/>
                <w:sz w:val="16"/>
                <w:szCs w:val="16"/>
              </w:rPr>
            </w:pPr>
          </w:p>
        </w:tc>
        <w:tc>
          <w:tcPr>
            <w:tcW w:w="1688" w:type="dxa"/>
            <w:vMerge w:val="continue"/>
            <w:vAlign w:val="center"/>
          </w:tcPr>
          <w:p>
            <w:pPr>
              <w:widowControl/>
              <w:snapToGrid w:val="0"/>
              <w:spacing w:line="0" w:lineRule="atLeast"/>
              <w:jc w:val="left"/>
              <w:rPr>
                <w:rFonts w:ascii="宋体" w:hAnsi="宋体" w:eastAsia="宋体" w:cs="宋体"/>
                <w:color w:val="0000FF"/>
                <w:kern w:val="0"/>
                <w:sz w:val="16"/>
                <w:szCs w:val="16"/>
              </w:rPr>
            </w:pPr>
          </w:p>
        </w:tc>
        <w:tc>
          <w:tcPr>
            <w:tcW w:w="8128" w:type="dxa"/>
            <w:vMerge w:val="continue"/>
            <w:vAlign w:val="center"/>
          </w:tcPr>
          <w:p>
            <w:pPr>
              <w:widowControl/>
              <w:snapToGrid w:val="0"/>
              <w:spacing w:line="0" w:lineRule="atLeast"/>
              <w:ind w:firstLine="320" w:firstLineChars="200"/>
              <w:rPr>
                <w:rFonts w:ascii="宋体" w:hAnsi="宋体" w:eastAsia="宋体" w:cs="宋体"/>
                <w:color w:val="0000FF"/>
                <w:kern w:val="0"/>
                <w:sz w:val="16"/>
                <w:szCs w:val="16"/>
              </w:rPr>
            </w:pPr>
          </w:p>
        </w:tc>
        <w:tc>
          <w:tcPr>
            <w:tcW w:w="2025" w:type="dxa"/>
            <w:tcBorders/>
            <w:shd w:val="clear" w:color="auto" w:fill="auto"/>
            <w:vAlign w:val="center"/>
          </w:tcPr>
          <w:p>
            <w:pPr>
              <w:widowControl/>
              <w:snapToGrid w:val="0"/>
              <w:spacing w:line="0" w:lineRule="atLeast"/>
              <w:jc w:val="center"/>
              <w:rPr>
                <w:rFonts w:hint="eastAsia" w:ascii="宋体" w:hAnsi="宋体" w:eastAsia="宋体" w:cs="宋体"/>
                <w:color w:val="0000FF"/>
                <w:kern w:val="0"/>
                <w:sz w:val="16"/>
                <w:szCs w:val="16"/>
              </w:rPr>
            </w:pPr>
            <w:r>
              <w:rPr>
                <w:rFonts w:hint="eastAsia" w:ascii="宋体" w:hAnsi="宋体" w:eastAsia="宋体" w:cs="宋体"/>
                <w:color w:val="0000FF"/>
                <w:kern w:val="0"/>
                <w:sz w:val="16"/>
                <w:szCs w:val="16"/>
              </w:rPr>
              <w:t>　</w:t>
            </w:r>
          </w:p>
          <w:p>
            <w:pPr>
              <w:widowControl/>
              <w:snapToGrid w:val="0"/>
              <w:spacing w:line="0" w:lineRule="atLeast"/>
              <w:jc w:val="center"/>
              <w:rPr>
                <w:rFonts w:ascii="宋体" w:hAnsi="宋体" w:eastAsia="宋体" w:cs="宋体"/>
                <w:color w:val="0000FF"/>
                <w:kern w:val="0"/>
                <w:sz w:val="16"/>
                <w:szCs w:val="16"/>
              </w:rPr>
            </w:pPr>
            <w:r>
              <w:rPr>
                <w:rFonts w:hint="eastAsia" w:ascii="宋体" w:hAnsi="宋体" w:eastAsia="宋体" w:cs="宋体"/>
                <w:color w:val="0000FF"/>
                <w:kern w:val="0"/>
                <w:sz w:val="16"/>
                <w:szCs w:val="16"/>
              </w:rPr>
              <w:t>　</w:t>
            </w:r>
          </w:p>
          <w:p>
            <w:pPr>
              <w:widowControl/>
              <w:snapToGrid w:val="0"/>
              <w:spacing w:line="0" w:lineRule="atLeast"/>
              <w:jc w:val="center"/>
              <w:rPr>
                <w:rFonts w:ascii="宋体" w:hAnsi="宋体" w:eastAsia="宋体" w:cs="宋体"/>
                <w:color w:val="0000FF"/>
                <w:kern w:val="0"/>
                <w:sz w:val="16"/>
                <w:szCs w:val="16"/>
              </w:rPr>
            </w:pPr>
            <w:r>
              <w:rPr>
                <w:rFonts w:hint="eastAsia" w:ascii="宋体" w:hAnsi="宋体" w:eastAsia="宋体" w:cs="宋体"/>
                <w:color w:val="0000FF"/>
                <w:kern w:val="0"/>
                <w:sz w:val="16"/>
                <w:szCs w:val="16"/>
              </w:rPr>
              <w:t>　</w:t>
            </w:r>
          </w:p>
          <w:p>
            <w:pPr>
              <w:widowControl/>
              <w:snapToGrid w:val="0"/>
              <w:spacing w:line="0" w:lineRule="atLeast"/>
              <w:jc w:val="center"/>
              <w:rPr>
                <w:rFonts w:ascii="宋体" w:hAnsi="宋体" w:eastAsia="宋体" w:cs="宋体"/>
                <w:color w:val="0000FF"/>
                <w:kern w:val="0"/>
                <w:sz w:val="16"/>
                <w:szCs w:val="16"/>
              </w:rPr>
            </w:pPr>
            <w:r>
              <w:rPr>
                <w:rFonts w:hint="eastAsia" w:ascii="宋体" w:hAnsi="宋体" w:eastAsia="宋体" w:cs="宋体"/>
                <w:color w:val="0000FF"/>
                <w:kern w:val="0"/>
                <w:sz w:val="16"/>
                <w:szCs w:val="16"/>
              </w:rPr>
              <w:t>　</w:t>
            </w:r>
          </w:p>
          <w:p>
            <w:pPr>
              <w:widowControl/>
              <w:snapToGrid w:val="0"/>
              <w:spacing w:line="0" w:lineRule="atLeast"/>
              <w:jc w:val="center"/>
              <w:rPr>
                <w:rFonts w:ascii="宋体" w:hAnsi="宋体" w:eastAsia="宋体" w:cs="宋体"/>
                <w:color w:val="0000FF"/>
                <w:kern w:val="0"/>
                <w:sz w:val="16"/>
                <w:szCs w:val="16"/>
              </w:rPr>
            </w:pPr>
            <w:r>
              <w:rPr>
                <w:rFonts w:hint="eastAsia" w:ascii="宋体" w:hAnsi="宋体" w:eastAsia="宋体" w:cs="宋体"/>
                <w:color w:val="0000FF"/>
                <w:kern w:val="0"/>
                <w:sz w:val="16"/>
                <w:szCs w:val="16"/>
              </w:rPr>
              <w:t>　</w:t>
            </w:r>
          </w:p>
        </w:tc>
      </w:tr>
    </w:tbl>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before="0" w:after="0"/>
        <w:rPr>
          <w:color w:val="000000" w:themeColor="text1"/>
          <w:sz w:val="32"/>
          <w:szCs w:val="32"/>
          <w14:textFill>
            <w14:solidFill>
              <w14:schemeClr w14:val="tx1"/>
            </w14:solidFill>
          </w14:textFill>
        </w:rPr>
      </w:pPr>
      <w:r>
        <w:rPr>
          <w:rFonts w:hint="eastAsia" w:ascii="黑体" w:hAnsi="黑体" w:eastAsia="黑体"/>
          <w:b w:val="0"/>
          <w:bCs w:val="0"/>
          <w:kern w:val="2"/>
          <w:sz w:val="32"/>
          <w:szCs w:val="32"/>
        </w:rPr>
        <w:t>二、文物</w:t>
      </w:r>
    </w:p>
    <w:tbl>
      <w:tblPr>
        <w:tblStyle w:val="6"/>
        <w:tblW w:w="12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4"/>
        <w:gridCol w:w="1954"/>
        <w:gridCol w:w="7623"/>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5" w:hRule="atLeast"/>
          <w:jc w:val="center"/>
        </w:trPr>
        <w:tc>
          <w:tcPr>
            <w:tcW w:w="594"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954"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事项</w:t>
            </w:r>
          </w:p>
        </w:tc>
        <w:tc>
          <w:tcPr>
            <w:tcW w:w="7623" w:type="dxa"/>
            <w:vMerge w:val="restart"/>
            <w:shd w:val="clear" w:color="auto" w:fill="auto"/>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依据</w:t>
            </w:r>
          </w:p>
        </w:tc>
        <w:tc>
          <w:tcPr>
            <w:tcW w:w="2191"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5" w:hRule="atLeast"/>
          <w:jc w:val="center"/>
        </w:trPr>
        <w:tc>
          <w:tcPr>
            <w:tcW w:w="594"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954"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7623" w:type="dxa"/>
            <w:vMerge w:val="continue"/>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p>
        </w:tc>
        <w:tc>
          <w:tcPr>
            <w:tcW w:w="2191" w:type="dxa"/>
            <w:vMerge w:val="continue"/>
            <w:vAlign w:val="center"/>
          </w:tcPr>
          <w:p>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20" w:hRule="exact"/>
          <w:jc w:val="center"/>
        </w:trPr>
        <w:tc>
          <w:tcPr>
            <w:tcW w:w="59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954"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转让或者抵押国有不可移动文物或者将国有不可移动文物作为企业资产经营等行为</w:t>
            </w:r>
          </w:p>
        </w:tc>
        <w:tc>
          <w:tcPr>
            <w:tcW w:w="7623"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法律：《中华人民共和国文物保护法》（2017年11月4日第四次修订）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八条：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p>
        </w:tc>
        <w:tc>
          <w:tcPr>
            <w:tcW w:w="2191"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50" w:hRule="exact"/>
          <w:jc w:val="center"/>
        </w:trPr>
        <w:tc>
          <w:tcPr>
            <w:tcW w:w="59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954"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买卖国家禁止买卖的文物或者将禁止出境的文物转让、出租、质押给外国人</w:t>
            </w:r>
          </w:p>
        </w:tc>
        <w:tc>
          <w:tcPr>
            <w:tcW w:w="7623"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法律：《中华人民共和国文物保护法》（2017年11月4日第四次修订）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tc>
        <w:tc>
          <w:tcPr>
            <w:tcW w:w="2191"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bl>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before="0" w:after="0"/>
        <w:rPr>
          <w:color w:val="000000" w:themeColor="text1"/>
          <w:sz w:val="32"/>
          <w:szCs w:val="32"/>
          <w14:textFill>
            <w14:solidFill>
              <w14:schemeClr w14:val="tx1"/>
            </w14:solidFill>
          </w14:textFill>
        </w:rPr>
      </w:pPr>
      <w:r>
        <w:rPr>
          <w:rFonts w:hint="eastAsia" w:ascii="黑体" w:hAnsi="黑体" w:eastAsia="黑体"/>
          <w:b w:val="0"/>
          <w:bCs w:val="0"/>
          <w:kern w:val="2"/>
          <w:sz w:val="32"/>
          <w:szCs w:val="32"/>
        </w:rPr>
        <w:t>三、新闻出版</w:t>
      </w:r>
    </w:p>
    <w:tbl>
      <w:tblPr>
        <w:tblStyle w:val="6"/>
        <w:tblW w:w="13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4"/>
        <w:gridCol w:w="1714"/>
        <w:gridCol w:w="8948"/>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714"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事项</w:t>
            </w:r>
          </w:p>
        </w:tc>
        <w:tc>
          <w:tcPr>
            <w:tcW w:w="8948" w:type="dxa"/>
            <w:vMerge w:val="restart"/>
            <w:shd w:val="clear" w:color="auto" w:fill="auto"/>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依据</w:t>
            </w:r>
          </w:p>
        </w:tc>
        <w:tc>
          <w:tcPr>
            <w:tcW w:w="2128" w:type="dxa"/>
            <w:vMerge w:val="restart"/>
            <w:shd w:val="clear" w:color="auto" w:fill="auto"/>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4"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714"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8948" w:type="dxa"/>
            <w:vMerge w:val="continue"/>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p>
        </w:tc>
        <w:tc>
          <w:tcPr>
            <w:tcW w:w="2128"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67" w:hRule="atLeas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714"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复制单位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依照《复制管理办法》的规定验证复制委托书及其他法定文书等行为</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1.部门规章：《复制管理办法》（2009年国家新闻出版总署令第42号，2015年国家新闻出版广电总局令第3号修订）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2.行政法规：《出版管理条例》（国务院令第343号颁布，国务院令第594号、第638号、第653号、第666号、第732号修订）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3.行政法规：《音像制品管理条例》（国务院令341号，国务院令第595号、第645号、第666号、第732号修订）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1" w:hRule="atLeas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714"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光盘复制单位使用</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蚀刻或者按《复制管理办法》规定蚀刻SID码的注塑模具复制只读类光盘等行为</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1.部门规章：《复制管理办法》（2009年国家新闻出版总署令第42号，2015年国家新闻出版广电总局令第3号修订）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一条：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从事只读类光盘复制，必须使用蚀刻有新闻出版总署核发的光盘来源识别码（SID码）的注塑模具。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刻码单位应将蚀刻SID码的情况通报新闻出版总署，光盘生产源鉴定机构应将样盘报送情况通报新闻出版总署。</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2.行政法规：《音像制品管理条例》（国务院令341号，国务院令第595号、第645号、第666号、第732号修订）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51" w:hRule="atLeas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714"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光盘复制单位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违反《复制管理办法》第十五条的规定，未经审批，擅自增加、进口、购买、变更光盘复制生产设备等行为</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1.部门规章：《复制管理办法》（2009年国家新闻出版总署令第42号，2015年国家新闻出版广电总局令第3号修订）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第三十一条：复制单位的法定代表人或者主要负责人应当接受所在地省级新闻出版行政部门组织的岗位培训。</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第二款：增加、进口、购买、变更光盘复制生产设备，须由新闻出版行政部门审批。其中增加、进口、购买、变更只读类光盘复制生产设备，由新闻出版总署审批；增加、进口、购买、变更可录类光盘生产设备，由所在地省级新闻出版行政部门审批，报新闻出版总署备案。</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国家对国产光盘复制生产设备的生产和销售实行备案管理。国产光盘复制生产设备生产和销售后，应分别在30日内向所在地省级新闻出版行政部门备案。备案内容包括生产和销售国产光盘复制生产设备的时间、设备名称、设备编号、设备数量和销售对象等。</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第二款：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ascii="宋体" w:hAnsi="宋体" w:eastAsia="宋体" w:cs="宋体"/>
                <w:color w:val="000000" w:themeColor="text1"/>
                <w:kern w:val="0"/>
                <w:sz w:val="16"/>
                <w:szCs w:val="16"/>
                <w14:textFill>
                  <w14:solidFill>
                    <w14:schemeClr w14:val="tx1"/>
                  </w14:solidFill>
                </w14:textFill>
              </w:rPr>
              <w:t>2.《音像制品管理条例》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3" w:hRule="atLeas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ascii="宋体" w:hAnsi="宋体" w:eastAsia="宋体" w:cs="宋体"/>
                <w:color w:val="000000" w:themeColor="text1"/>
                <w:kern w:val="0"/>
                <w:sz w:val="16"/>
                <w:szCs w:val="16"/>
                <w:lang w:val="en"/>
                <w14:textFill>
                  <w14:solidFill>
                    <w14:schemeClr w14:val="tx1"/>
                  </w14:solidFill>
                </w14:textFill>
              </w:rPr>
              <w:t>4</w:t>
            </w:r>
          </w:p>
        </w:tc>
        <w:tc>
          <w:tcPr>
            <w:tcW w:w="1714" w:type="dxa"/>
            <w:vMerge w:val="restart"/>
            <w:shd w:val="clear" w:color="auto" w:fill="auto"/>
            <w:vAlign w:val="center"/>
          </w:tcPr>
          <w:p>
            <w:pPr>
              <w:widowControl/>
              <w:snapToGrid w:val="0"/>
              <w:spacing w:after="240"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未经批准，擅自设立出版物的出版、印刷或者复制、进口单位，或者擅自从事出版物的出版、印刷或者复制、进口、发行业务，假冒出版单位名称或者伪造、假冒报纸、期刊名称出版出版物</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1.行政法规：《出版管理条例》（国务院令第343号颁布，国务院令第594号、第638号、第653号、第666号、第732号修订）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2.部门规章：《复制管理办法》（2009年新闻出版总署令第42号，2015年国家新闻出版广电总局令第3号修订）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3.部门规章：《出版物市场管理规定》（2016年国家新闻出版广电总局、商务部令第10号）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第三十一条：未经批准，擅自从事出版物发行业务的，依照《出版管理条例》第六十一条处罚。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4.部门规章：《图书出版管理规定》（2008年国家新闻出版总署令第36号、2015年国家新闻出版广电总局令第3号修改）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第四十七条：未经批准，擅自设立图书出版单位，或者擅自从事图书出版业务，假冒、伪造图书出版单位名称出版图书的，依照《出版管理条例》第六十一条处罚。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5.部门规章：《电子岀版物出版管理规定》（2008年国家新闻出版总署令第34号，2015年国家新闻出版广电总局令第3号修订）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七条：未经批准，擅自设立电子出版物出版单位，擅自从事电子出版物出版业务，伪造、假冒电子出版物出版单位或者连续型电子出版物名称、电子出版物专用中国标准书号出版电子出版物的，按照《出版管理条例》第六十一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图书、报纸、期刊、音像等出版单位未经批准，配合本版出版物出版电子出版物的，属于擅自从事电子出版物出版业务，按照前款处罚。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6.部门规章：《期刊出版管理规定》（2005年国家新闻出版总署令第31号发布、2017年国家新闻出版广电总局令第13号修订）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第五十七条：未经批准，擅自设立期刊出版单位，或者擅自从事期刊出版业务，假冒期刊出版单位名称或者伪造、假冒期刊名称出版期刊的，依照《出版管理条例》第六十一条处罚。</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7" w:hRule="atLeas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ascii="宋体" w:hAnsi="宋体" w:eastAsia="宋体" w:cs="宋体"/>
                <w:color w:val="000000" w:themeColor="text1"/>
                <w:kern w:val="0"/>
                <w:sz w:val="16"/>
                <w:szCs w:val="16"/>
                <w:lang w:val="en"/>
                <w14:textFill>
                  <w14:solidFill>
                    <w14:schemeClr w14:val="tx1"/>
                  </w14:solidFill>
                </w14:textFill>
              </w:rPr>
              <w:t>5</w:t>
            </w:r>
          </w:p>
        </w:tc>
        <w:tc>
          <w:tcPr>
            <w:tcW w:w="1714"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印刷、复制、发行含有《出版管理条例》第二十五条、第二十六条禁止内容出版物等行为</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1.行政法规：《出版管理条例》（国务院令第343号颁布，国务院令第594号、第638号、第653号、第666号、第732号修订）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w:t>
            </w:r>
            <w:r>
              <w:rPr>
                <w:rFonts w:hint="eastAsia" w:ascii="宋体" w:hAnsi="宋体" w:eastAsia="宋体" w:cs="宋体"/>
                <w:color w:val="0000FF"/>
                <w:kern w:val="0"/>
                <w:sz w:val="16"/>
                <w:szCs w:val="16"/>
              </w:rPr>
              <w:t>（五）宣扬邪教、迷信的；</w:t>
            </w:r>
            <w:r>
              <w:rPr>
                <w:rFonts w:hint="eastAsia" w:ascii="宋体" w:hAnsi="宋体" w:eastAsia="宋体" w:cs="宋体"/>
                <w:color w:val="000000" w:themeColor="text1"/>
                <w:kern w:val="0"/>
                <w:sz w:val="16"/>
                <w:szCs w:val="16"/>
                <w14:textFill>
                  <w14:solidFill>
                    <w14:schemeClr w14:val="tx1"/>
                  </w14:solidFill>
                </w14:textFill>
              </w:rPr>
              <w:t>（六）扰乱社会秩序，破坏社会稳定的；（七）宣扬淫秽、赌博、暴力或者教唆犯罪的；（八）侮辱或者诽谤他人，侵害他人合法权益的；（九）危害社会公德或者民族优秀文化传统的；（十）有法律、行政法规和国家规定禁止的其他内容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第二十六条：以未成年人为对象的出版物不得含有诱发未成年人模仿违反社会公德的行为和违法犯罪的行为的内容，不得含有恐怖、残酷等妨害未成年人身心健康的内容。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2.部门规章：《复制管理办法》（2009年国家新闻出版总署令第42号，国家新闻出版广电总局令第3号修订）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3.部门规章：《出版物市场管理规定》（2016年国家新闻出版广电总局、商务部令第10号）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第三十九条：征订、储存、运输、邮寄、投递、散发、附送本规定第二十条所列出版物的，按照本规定第三十二条进行处罚。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第三十二条：发行违禁出版物的，依照《出版管理条例》第六十二条处罚。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发行国家新闻出版广电总局禁止进口的出版物，或者发行未从依法批准的出版物进口经营单位进货的进口出版物，依照《出版管理条例》第六十三条处罚。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发行其他非法出版物和出版行政主管部门明令禁止出版、印刷或者复制、发行的出版物的，依照《出版管理条例》第六十五条处罚。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发行违禁出版物或者非法出版物的，当事人对其来源作出说明、指认，经查证属实的，没收出版物和非法所得，可以减轻或免除其他行政处罚。</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80" w:hRule="atLeas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714"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发行禁止进口的出版物，或者发行未从依法批准的出版物进口经营单位进货的进口出版物</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14:textFill>
                  <w14:solidFill>
                    <w14:schemeClr w14:val="tx1"/>
                  </w14:solidFill>
                </w14:textFill>
              </w:rPr>
              <w:t>部门规章：《出版物市场管理规定》（2016年国家新闻出版广电总局、商务部令第10号）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第三十二条：发行违禁出版物的，依照《出版管理条例》第六十二条处罚。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发行国家新闻出版广电总局禁止进口的出版物，或者发行未从依法批准的出版物进口经营单位进货的进口出版物，依照《出版管理条例》第六十三条处罚。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发行其他非法出版物和出版行政主管部门明令禁止出版、印刷或者复制、发行的出版物的，依照《出版管理条例》第六十五条处罚。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发行违禁出版物或者非法出版物的，当事人对其来源作出说明、指认，经查证属实的，没收出版物和非法所得，可以减轻或免除其他行政处罚。</w:t>
            </w:r>
          </w:p>
          <w:p>
            <w:pPr>
              <w:widowControl/>
              <w:snapToGrid w:val="0"/>
              <w:spacing w:line="24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r>
              <w:rPr>
                <w:rFonts w:ascii="宋体" w:hAnsi="宋体" w:eastAsia="宋体" w:cs="宋体"/>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行政法规：《出版管理条例》（国务院令第343号颁布，国务院令第594号、第638号、第653号、第666号、第732号修订）</w:t>
            </w:r>
          </w:p>
          <w:p>
            <w:pPr>
              <w:widowControl/>
              <w:snapToGrid w:val="0"/>
              <w:spacing w:line="24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第六十三条　有下列行为之一的，由出版行政主管部门责令停止违法行为，没收出版物、违法所得，违法经营额</w:t>
            </w:r>
            <w:r>
              <w:rPr>
                <w:rFonts w:ascii="宋体" w:hAnsi="宋体" w:eastAsia="宋体" w:cs="宋体"/>
                <w:color w:val="000000" w:themeColor="text1"/>
                <w:kern w:val="0"/>
                <w:sz w:val="16"/>
                <w:szCs w:val="16"/>
                <w14:textFill>
                  <w14:solidFill>
                    <w14:schemeClr w14:val="tx1"/>
                  </w14:solidFill>
                </w14:textFill>
              </w:rPr>
              <w:t>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一</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进口、印刷或者复制、发行国务院出版行政主管部门禁止进口的出版物的；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二</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印刷或者复制走私的境外出版物的；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三</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发行进口出版物未从本条例规定的出版物进口经营单位进货的。</w:t>
            </w:r>
          </w:p>
        </w:tc>
        <w:tc>
          <w:tcPr>
            <w:tcW w:w="2128" w:type="dxa"/>
            <w:vMerge w:val="restart"/>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7" w:hRule="atLeast"/>
          <w:jc w:val="center"/>
        </w:trPr>
        <w:tc>
          <w:tcPr>
            <w:tcW w:w="564"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714"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8948"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128" w:type="dxa"/>
            <w:vMerge w:val="restart"/>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1" w:hRule="atLeast"/>
          <w:jc w:val="center"/>
        </w:trPr>
        <w:tc>
          <w:tcPr>
            <w:tcW w:w="564"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714"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8948"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128" w:type="dxa"/>
            <w:vMerge w:val="continue"/>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5" w:hRule="exac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714"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发行其他非法出版物和出版行政主管部门明令禁止出版、印刷或者复制、发行的出版物</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14:textFill>
                  <w14:solidFill>
                    <w14:schemeClr w14:val="tx1"/>
                  </w14:solidFill>
                </w14:textFill>
              </w:rPr>
              <w:t>部门规章：《出版物市场管理规定》（2016年国家新闻出版广电总局、商务部令第10号）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第三十二条：发行违禁出版物的，依照《出版管理条例》第六十二条处罚。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发行国家新闻出版广电总局禁止进口的出版物，或者发行未从依法批准的出版物进口经营单位进货的进口出版物，依照《出版管理条例》第六十三条处罚。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发行其他非法出版物和出版行政主管部门明令禁止出版、印刷或者复制、发行的出版物的，依照《出版管理条例》第六十五条处罚。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发行违禁出版物或者非法出版物的，当事人对其来源作出说明、指认，经查证属实的，没收出版物和非法所得，可以减轻或免除其他行政处罚。</w:t>
            </w:r>
          </w:p>
          <w:p>
            <w:pPr>
              <w:widowControl/>
              <w:snapToGrid w:val="0"/>
              <w:spacing w:line="24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r>
              <w:rPr>
                <w:rFonts w:ascii="宋体" w:hAnsi="宋体" w:eastAsia="宋体" w:cs="宋体"/>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行政法规：《出版管理条例》（国务院令第343号颁布，国务院令第594号、第638号、第653号、第666号、第732号修订）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第六十五条：有下列行为之一的，由出版行政主管部门没收出版物、违法所得，违法经营额</w:t>
            </w:r>
            <w:r>
              <w:rPr>
                <w:rFonts w:ascii="宋体" w:hAnsi="宋体" w:eastAsia="宋体" w:cs="宋体"/>
                <w:color w:val="000000" w:themeColor="text1"/>
                <w:kern w:val="0"/>
                <w:sz w:val="16"/>
                <w:szCs w:val="16"/>
                <w14:textFill>
                  <w14:solidFill>
                    <w14:schemeClr w14:val="tx1"/>
                  </w14:solidFill>
                </w14:textFill>
              </w:rPr>
              <w:t>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一</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出版单位委托未取得出版物印刷或者复制许可的单位印刷或者复制出版物的；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二</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印刷或者复制单位未取得印刷或者复制许可而印刷或者复制出版物的；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三</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印刷或者复制单位接受非出版单位和个人的委托印刷或者复制出版物的；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四</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印刷或者复制单位未履行法定手续印刷或者复制境外出版物的，印刷或者复制的境外出版物没有全部运输出境的；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五</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印刷或者复制单位、发行单位或者个体工商户印刷或者复制、发行未署出版单位名称的出版物的；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六</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印刷或者复制单位、发行单位或者个体工商户印刷或者复制、发行伪造、假冒出版单位名称或者报纸、期刊名称的出版物的；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七</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出版、印刷、发行单位出版、印刷、发行未经依法审定的中学小学教科书，或者非依照本条例规定确定的单位从事中学小学教科书的出版、发行业务的。</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97" w:hRule="atLeas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8</w:t>
            </w:r>
          </w:p>
        </w:tc>
        <w:tc>
          <w:tcPr>
            <w:tcW w:w="1714"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擅自设立从事出版物印刷经营活动的企业或者擅自从事印刷经营活动等行为</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单位内部设立的印刷厂（所）未依照本条例第二章的规定办理手续，从事印刷经营活动的，依照前款的规定处罚。</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7" w:hRule="exac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9</w:t>
            </w:r>
          </w:p>
        </w:tc>
        <w:tc>
          <w:tcPr>
            <w:tcW w:w="1714"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印刷业经营者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印刷明知或者应知含有《印刷业管理条例》第三条规定禁止印刷内容的出版物、包装装潢印刷品或者其他印刷品的，或者印刷国家明令禁止出版的出版物或者非岀版单位出版的出版物</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八条：印刷业经营者印刷明知或者应知含有本条例第三条规定禁止印刷内容的出版物、包装装潢印刷品或者其他印刷品的，或者印刷国家明令禁止出版的出版物或者非岀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第三条：印刷业经营者必须遵守有关法律、法规和规章，讲求社会效益。</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禁止印刷含有反动、淫秽、迷信内容和国家明令禁止印刷的其他内容的出版物、包装装潢印刷品和其他印刷品。</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6" w:hRule="atLeas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10</w:t>
            </w:r>
          </w:p>
        </w:tc>
        <w:tc>
          <w:tcPr>
            <w:tcW w:w="1714"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印刷业经营者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建立承印验证制度、承印登记制度、印刷品保管制度、印刷品交付制度、印刷活动残次品销毁制度等行为</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w:t>
            </w:r>
            <w:bookmarkStart w:id="1" w:name="tiao_15_kuan_1"/>
            <w:bookmarkEnd w:id="1"/>
            <w:r>
              <w:rPr>
                <w:rFonts w:hint="eastAsia" w:ascii="宋体" w:hAnsi="宋体" w:eastAsia="宋体" w:cs="宋体"/>
                <w:color w:val="000000" w:themeColor="text1"/>
                <w:kern w:val="0"/>
                <w:sz w:val="16"/>
                <w:szCs w:val="16"/>
                <w14:textFill>
                  <w14:solidFill>
                    <w14:schemeClr w14:val="tx1"/>
                  </w14:solidFill>
                </w14:textFill>
              </w:rPr>
              <w:t>　单位内部设立印刷厂(所)，必须向所在地县级以上地方人民政府出版行政部门办理登记手续；单位内部设立的印刷厂(所)印刷涉及国家秘密的印件的，还应当向保密工作部门办理登记手续。</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bookmarkStart w:id="2" w:name="tiao_15_kuan_2"/>
            <w:bookmarkEnd w:id="2"/>
            <w:r>
              <w:rPr>
                <w:rFonts w:hint="eastAsia" w:ascii="宋体" w:hAnsi="宋体" w:eastAsia="宋体" w:cs="宋体"/>
                <w:color w:val="000000" w:themeColor="text1"/>
                <w:kern w:val="0"/>
                <w:sz w:val="16"/>
                <w:szCs w:val="16"/>
                <w14:textFill>
                  <w14:solidFill>
                    <w14:schemeClr w14:val="tx1"/>
                  </w14:solidFill>
                </w14:textFill>
              </w:rPr>
              <w:t>单位内部设立的印刷厂(所)不得从事印刷经营活动；从事印刷经营活动的，必须依照本章的规定办理手续。</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11</w:t>
            </w:r>
          </w:p>
        </w:tc>
        <w:tc>
          <w:tcPr>
            <w:tcW w:w="1714"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未取得出版行政部门的许可，擅自兼营或者变更从事出版物、包装装潢印刷品或者其他印刷品印刷经营活动，或者擅自兼并其他印刷业经营者等行为</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岀租、出借或者以其他形式转让印刷经营许可证的。</w:t>
            </w:r>
          </w:p>
        </w:tc>
        <w:tc>
          <w:tcPr>
            <w:tcW w:w="2128" w:type="dxa"/>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exact"/>
          <w:jc w:val="center"/>
        </w:trPr>
        <w:tc>
          <w:tcPr>
            <w:tcW w:w="564"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71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894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128" w:type="dxa"/>
            <w:tcBorders/>
            <w:shd w:val="clear" w:color="auto" w:fill="auto"/>
            <w:noWrap/>
            <w:vAlign w:val="center"/>
          </w:tcPr>
          <w:p>
            <w:pPr>
              <w:widowControl/>
              <w:snapToGrid w:val="0"/>
              <w:spacing w:line="0" w:lineRule="atLeas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1" w:hRule="exac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ascii="宋体" w:hAnsi="宋体" w:eastAsia="宋体" w:cs="宋体"/>
                <w:color w:val="000000" w:themeColor="text1"/>
                <w:kern w:val="0"/>
                <w:sz w:val="16"/>
                <w:szCs w:val="16"/>
                <w:lang w:val="en"/>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2</w:t>
            </w:r>
          </w:p>
        </w:tc>
        <w:tc>
          <w:tcPr>
            <w:tcW w:w="1714"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从事其他印刷品印刷经营活动的企业和个人接受委托印刷其他印刷品，未依照本条例的规定验证有关证明等行为</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第一项：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3</w:t>
            </w:r>
          </w:p>
        </w:tc>
        <w:tc>
          <w:tcPr>
            <w:tcW w:w="1714"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印刷布告、通告、重大活动工作证、通行证、在社会上流通使用的票证，委托印刷单位没有取得主管部门证明</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第四十三条第二款：印刷布告、通告、重大活动工作证、通行证、在社会上流通使用的票证，委托印刷单位没有取得主管部门证明的，由县级以上人民政府出版行政部门处以500元以上5000元以下的罚款。</w:t>
            </w:r>
          </w:p>
        </w:tc>
        <w:tc>
          <w:tcPr>
            <w:tcW w:w="2128" w:type="dxa"/>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exact"/>
          <w:jc w:val="center"/>
        </w:trPr>
        <w:tc>
          <w:tcPr>
            <w:tcW w:w="564"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714"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8948"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128" w:type="dxa"/>
            <w:tcBorders/>
            <w:shd w:val="clear" w:color="auto" w:fill="auto"/>
            <w:noWrap/>
            <w:vAlign w:val="center"/>
          </w:tcPr>
          <w:p>
            <w:pPr>
              <w:widowControl/>
              <w:snapToGrid w:val="0"/>
              <w:spacing w:line="0" w:lineRule="atLeas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2" w:hRule="atLeas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4</w:t>
            </w:r>
          </w:p>
        </w:tc>
        <w:tc>
          <w:tcPr>
            <w:tcW w:w="1714"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从事包装装潢印刷品印刷经营活动的企业擅自留存委托印刷的包装装潢印刷品的成品、半成品、废品和印板、纸型、印刷底片、原稿等行为</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二）从事其他印刷品印刷经营活动的企业和个人擅自保留其他印刷品的样本、样张的，或者在所保留的样本、样张上未加盖“样本”、“样张”戳记的。</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0" w:hRule="exac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5</w:t>
            </w:r>
          </w:p>
        </w:tc>
        <w:tc>
          <w:tcPr>
            <w:tcW w:w="1714"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从事包装装潢印刷品印刷经营活动的企业接受委托印刷注册商标标识，未依照本条例的规定验证、核查工商行政管理部门签章的《商标注册证》复印件、注册商标图样或者注册商标使用许可合同复印件等行为</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w:t>
            </w:r>
          </w:p>
        </w:tc>
        <w:tc>
          <w:tcPr>
            <w:tcW w:w="1714"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网络出版服务单位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转借、出租、出卖《网络出版服务许可证》或者以任何形式转让网络出版服务许可</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1.部门规章：《网络出版服务管理规定》（2016年国家新闻出版广电总局、工信部令第5号）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第二十一条：网络出版服务单位不得转借、出租、出卖《网络出版服务许可证》或以任何形式转让网络出版服务许可。</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网络出版服务单位允许其他网络信息服务提供者以其名义提供网络出版服务，属于前款所称禁止行为。</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2.行政法规：《出版管理条例》（国务院令第343号颁布，国务院令第594号、第638号、第653号、第666号、第732号修订）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岀售或者以其他形式转让本出版单位的名称、书号、刊号、版号、版面，或者出租本单位的名称、刊号的；（二）利用出版活动谋取其他不正当利益的。</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12" w:hRule="atLeas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7</w:t>
            </w:r>
          </w:p>
        </w:tc>
        <w:tc>
          <w:tcPr>
            <w:tcW w:w="1714"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未经批准，擅自设立音像制品出版单位，擅自从事音像制品出版业务</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行政法规：《音像制品管理条例》（国务院令341号，国务院令第595号、第645号、第666号、第732号修订）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8" w:hRule="atLeas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8</w:t>
            </w:r>
          </w:p>
        </w:tc>
        <w:tc>
          <w:tcPr>
            <w:tcW w:w="1714"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未经批准，擅自设立音像制品制作单位，擅自从事音像制品制作经营活动等行为</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1.行政法规：《音像制品管理条例》（国务院令341号，国务院令第595号、第645号、第666号、第732号修订）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2.部门规章：《音像制品制作管理规定》（新闻出版总署第35号令，2015、2017修正）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第二十二条第一款：未经批准，擅自设立音像制品制作单位，擅自从事音像制品制作经营活动的，依照《音像制品管理条例》第三十九条的规定处罚。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音像制作单位以外的单位或者个人以制作单位名义在音像制品上署名的，按照擅自从事音像制品制作经营活动处罚。</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3" w:hRule="exac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9</w:t>
            </w:r>
          </w:p>
        </w:tc>
        <w:tc>
          <w:tcPr>
            <w:tcW w:w="1714" w:type="dxa"/>
            <w:vMerge w:val="restart"/>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音像制作单位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接受非出版单位委托制作音像制品，未依照《音像制品制作管理规定》验证委托单位的有关证明文件的或者未依照《音像制品制作管理规定》留存备查材料等行为</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部门规章：《音像制品制作管理规定》（新闻出版总署35号令，2015、2017修改）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七条：音像制作单位有下列行为之一的，由岀版行政部门责令改正，给予警告；情节严重的，并处3万元以下的罚款：（一）法定代表人或者主要负责人未按本规定参加岗位培训的；（二）未按本规定填写制作或者归档保存制作文档记录的；（三）接受非出版单位委托制作音像制品，未依照本规定验证委托单位的有关证明文件的或者未依照本规定留存备查材料的；（四）未经授权将委托制作的音像制品提供给委托方以外的单位或者个人的；（五）制作的音像制品不符合国家有关质量、技术标准和规定的；（六）未依照有关规定参加年度核验的。</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80" w:hRule="exac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1714"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印刷业经营者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印刷明知或者应知含有《内部资料性出版物管理办法》第十三条规定禁止内容的内部资料等行为</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1.部门规章：《内部资料性出版物管理办法》（2015年国家新闻出版广电总局令第2号）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有下列情形之一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三条：内部资料不得含有下列内容：（一）反对宪法确定的基本原则的；（二）危害国家统一、主权和领土完整的；（三）泄露国家秘密、危害国家安全或者损害国家荣誉和利益的；（四）煽动民族仇恨、民族歧视，破坏民族团结，或者侵害少数民族风俗、习惯的；</w:t>
            </w:r>
            <w:r>
              <w:rPr>
                <w:rFonts w:hint="eastAsia" w:ascii="宋体" w:hAnsi="宋体" w:eastAsia="宋体" w:cs="宋体"/>
                <w:color w:val="0000FF"/>
                <w:kern w:val="0"/>
                <w:sz w:val="16"/>
                <w:szCs w:val="16"/>
              </w:rPr>
              <w:t>（五）宣扬邪教、迷信的；</w:t>
            </w:r>
            <w:r>
              <w:rPr>
                <w:rFonts w:hint="eastAsia" w:ascii="宋体" w:hAnsi="宋体" w:eastAsia="宋体" w:cs="宋体"/>
                <w:color w:val="000000" w:themeColor="text1"/>
                <w:kern w:val="0"/>
                <w:sz w:val="16"/>
                <w:szCs w:val="16"/>
                <w14:textFill>
                  <w14:solidFill>
                    <w14:schemeClr w14:val="tx1"/>
                  </w14:solidFill>
                </w14:textFill>
              </w:rPr>
              <w:t>（六）扰乱社会秩序，破坏社会稳定的；（七）宣扬淫秽、赌博、暴力或者教唆犯罪的；（八）侮辱或者诽谤他人，侵害他人合法权益的；（九）危害社会公德或者民族优秀文化传统的；（十）法律、行政法规和国家规定禁止的其他内容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2.行政法规：《印刷业管理条例》（国务院令第315号颁布，国务院令第666号、第676号、第732号修订）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八条：印刷业经营者印刷明知或者应知含有本条例第三条规定禁止印刷内容的出版物、包装装潢印刷品或者其他印刷品的，或者印刷国家明令禁止出版的出版物或者非岀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3" w:hRule="atLeas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21</w:t>
            </w:r>
          </w:p>
        </w:tc>
        <w:tc>
          <w:tcPr>
            <w:tcW w:w="1714"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出版物印刷企业</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按《内部资料性出版物管理办法》承印内部资料</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1.部门规章：《内部资料性出版物管理办法》（2015年国家新闻出版广电总局令第2号）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2.行政法规：《印刷业管理条例》（国务院令第315号，国务院令第666号、第676号、第732号修订）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2128" w:type="dxa"/>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8" w:hRule="atLeast"/>
          <w:jc w:val="center"/>
        </w:trPr>
        <w:tc>
          <w:tcPr>
            <w:tcW w:w="564" w:type="dxa"/>
            <w:vMerge w:val="continue"/>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714" w:type="dxa"/>
            <w:vMerge w:val="continue"/>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8948" w:type="dxa"/>
            <w:vMerge w:val="continue"/>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128" w:type="dxa"/>
            <w:tcBorders/>
            <w:shd w:val="clear" w:color="auto" w:fill="auto"/>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33" w:hRule="atLeast"/>
          <w:jc w:val="center"/>
        </w:trPr>
        <w:tc>
          <w:tcPr>
            <w:tcW w:w="564" w:type="dxa"/>
            <w:vMerge w:val="restart"/>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ascii="宋体" w:hAnsi="宋体" w:eastAsia="宋体" w:cs="宋体"/>
                <w:color w:val="000000" w:themeColor="text1"/>
                <w:kern w:val="0"/>
                <w:sz w:val="16"/>
                <w:szCs w:val="16"/>
                <w:lang w:val="en"/>
                <w14:textFill>
                  <w14:solidFill>
                    <w14:schemeClr w14:val="tx1"/>
                  </w14:solidFill>
                </w14:textFill>
              </w:rPr>
              <w:t>2</w:t>
            </w:r>
            <w:r>
              <w:rPr>
                <w:rFonts w:hint="eastAsia" w:ascii="宋体" w:hAnsi="宋体" w:eastAsia="宋体" w:cs="宋体"/>
                <w:color w:val="000000" w:themeColor="text1"/>
                <w:kern w:val="0"/>
                <w:sz w:val="16"/>
                <w:szCs w:val="16"/>
                <w:lang w:val="en"/>
                <w14:textFill>
                  <w14:solidFill>
                    <w14:schemeClr w14:val="tx1"/>
                  </w14:solidFill>
                </w14:textFill>
              </w:rPr>
              <w:t>2</w:t>
            </w:r>
          </w:p>
        </w:tc>
        <w:tc>
          <w:tcPr>
            <w:tcW w:w="1714" w:type="dxa"/>
            <w:vMerge w:val="restart"/>
            <w:shd w:val="clear" w:color="auto" w:fill="auto"/>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未取得《准印证》，</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编印具有内部资料形式，但不符合内部资料内容或发送要求的印刷品，经鉴定为非法出版物</w:t>
            </w:r>
          </w:p>
        </w:tc>
        <w:tc>
          <w:tcPr>
            <w:tcW w:w="8948" w:type="dxa"/>
            <w:vMerge w:val="restart"/>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1.部门规章：《内部资料性出版物管理办法》（2015年国家新闻出版广电总局令第2号）</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第二十二条第三款：未取得《准印证》，编印具有内部资料形式，但不符合内部资料内容或发送要求的印刷品，经鉴定为非法出版物的，按照《出版管理条例》第六十一条或第六十二条的规定处罚。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2.行政法规：《出版管理条例》（国务院令第343号颁布，国务院令第594号、第638号、第653号、第666号、第732号修订）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12" w:hRule="atLeast"/>
          <w:jc w:val="center"/>
        </w:trPr>
        <w:tc>
          <w:tcPr>
            <w:tcW w:w="564" w:type="dxa"/>
            <w:shd w:val="clear" w:color="auto" w:fill="auto"/>
            <w:vAlign w:val="center"/>
          </w:tcPr>
          <w:p>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r>
              <w:rPr>
                <w:rFonts w:hint="eastAsia" w:ascii="宋体" w:hAnsi="宋体" w:eastAsia="宋体" w:cs="宋体"/>
                <w:color w:val="000000" w:themeColor="text1"/>
                <w:kern w:val="0"/>
                <w:sz w:val="16"/>
                <w:szCs w:val="16"/>
                <w:lang w:val="en"/>
                <w14:textFill>
                  <w14:solidFill>
                    <w14:schemeClr w14:val="tx1"/>
                  </w14:solidFill>
                </w14:textFill>
              </w:rPr>
              <w:t>3</w:t>
            </w:r>
          </w:p>
        </w:tc>
        <w:tc>
          <w:tcPr>
            <w:tcW w:w="1714" w:type="dxa"/>
            <w:shd w:val="clear" w:color="auto" w:fill="auto"/>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未经批准擅自编印内部资料等行为</w:t>
            </w:r>
          </w:p>
        </w:tc>
        <w:tc>
          <w:tcPr>
            <w:tcW w:w="8948" w:type="dxa"/>
            <w:shd w:val="clear" w:color="auto" w:fill="auto"/>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部门规章：《内部资料性出版物管理办法》（2015年国家新闻出版广电总局令第2号）</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有下列行为之一的，由县级以上地方人民政府新闻出版行政部门责令改正、停止违法行为，根据情节轻重，给予警告，处1千元以下的罚款;以营利为目的从事下列行为的，处3万元以下罚款:(一)未经批准擅自编印内部资料的;(四)委托非出版物印刷企业印刷内部资料或者未按照《准印证》核准的项目印制的;(五)未按照本办法第十八条送交样本的;(六)违反本办法其他规定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其中，有前款第(一)项至第(三)项违法行为的，对非法编印的内部资料予以没收，超越发送范围的责令收回。</w:t>
            </w:r>
          </w:p>
        </w:tc>
        <w:tc>
          <w:tcPr>
            <w:tcW w:w="2128" w:type="dxa"/>
            <w:tcBorders/>
            <w:shd w:val="clear" w:color="auto" w:fill="auto"/>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bl>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before="0" w:after="0"/>
        <w:rPr>
          <w:sz w:val="32"/>
          <w:szCs w:val="32"/>
        </w:rPr>
      </w:pPr>
      <w:r>
        <w:rPr>
          <w:rFonts w:hint="eastAsia" w:ascii="黑体" w:hAnsi="黑体" w:eastAsia="黑体"/>
          <w:b w:val="0"/>
          <w:bCs w:val="0"/>
          <w:kern w:val="2"/>
          <w:sz w:val="32"/>
          <w:szCs w:val="32"/>
        </w:rPr>
        <w:t>四、版权</w:t>
      </w:r>
    </w:p>
    <w:tbl>
      <w:tblPr>
        <w:tblStyle w:val="6"/>
        <w:tblW w:w="13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87"/>
        <w:gridCol w:w="1494"/>
        <w:gridCol w:w="7923"/>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87"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494"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事项</w:t>
            </w:r>
          </w:p>
        </w:tc>
        <w:tc>
          <w:tcPr>
            <w:tcW w:w="7923" w:type="dxa"/>
            <w:vMerge w:val="restart"/>
            <w:shd w:val="clear" w:color="000000" w:fill="FFFFFF"/>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依据</w:t>
            </w:r>
          </w:p>
        </w:tc>
        <w:tc>
          <w:tcPr>
            <w:tcW w:w="3343"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87"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494"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7923" w:type="dxa"/>
            <w:vMerge w:val="continue"/>
            <w:vAlign w:val="center"/>
          </w:tcPr>
          <w:p>
            <w:pPr>
              <w:widowControl/>
              <w:snapToGrid w:val="0"/>
              <w:spacing w:line="0" w:lineRule="atLeast"/>
              <w:ind w:firstLine="321" w:firstLineChars="200"/>
              <w:jc w:val="left"/>
              <w:rPr>
                <w:rFonts w:ascii="宋体" w:hAnsi="宋体" w:eastAsia="宋体" w:cs="宋体"/>
                <w:b/>
                <w:bCs/>
                <w:color w:val="000000" w:themeColor="text1"/>
                <w:kern w:val="0"/>
                <w:sz w:val="16"/>
                <w:szCs w:val="16"/>
                <w14:textFill>
                  <w14:solidFill>
                    <w14:schemeClr w14:val="tx1"/>
                  </w14:solidFill>
                </w14:textFill>
              </w:rPr>
            </w:pPr>
          </w:p>
        </w:tc>
        <w:tc>
          <w:tcPr>
            <w:tcW w:w="3343"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52" w:hRule="atLeast"/>
          <w:jc w:val="center"/>
        </w:trPr>
        <w:tc>
          <w:tcPr>
            <w:tcW w:w="587"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494"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未经著作权人许可，复制、发行、表演、放映、广播、汇编、通过信息网络向公众传播其作品等行为</w:t>
            </w:r>
          </w:p>
        </w:tc>
        <w:tc>
          <w:tcPr>
            <w:tcW w:w="7923"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1.法律：《中华人民共和国著作权法》（2020年11月第三次修正）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2.行政法规：《中华人民共和国著作权法实施条例》（2013年3月1日施行）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有著作权法第四十八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tc>
        <w:tc>
          <w:tcPr>
            <w:tcW w:w="334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587"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494"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通过信息网络擅自向公众提供他人的作品、表演、录音录像制品等行为</w:t>
            </w:r>
          </w:p>
        </w:tc>
        <w:tc>
          <w:tcPr>
            <w:tcW w:w="7923"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行政法规：《信息网络传播权保护条例》（国务院令第634号修订）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334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3" w:hRule="atLeast"/>
          <w:jc w:val="center"/>
        </w:trPr>
        <w:tc>
          <w:tcPr>
            <w:tcW w:w="587"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494"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故意制造、进口或者向他人提供主要用于避开、破坏技术措施的装置或者部件，或者故意为他人避开或者破坏技术措施提供技术服务等行为</w:t>
            </w:r>
          </w:p>
        </w:tc>
        <w:tc>
          <w:tcPr>
            <w:tcW w:w="7923"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行政法规：《信息网络传播权保护条例》（国务院令第634号修订）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c>
          <w:tcPr>
            <w:tcW w:w="334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3" w:hRule="atLeast"/>
          <w:jc w:val="center"/>
        </w:trPr>
        <w:tc>
          <w:tcPr>
            <w:tcW w:w="587"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494"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网络服务提供者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无正当理由拒绝提供或者拖延提供涉嫌侵权的服务对象的姓名（名称）、联系方式、网络地址等资料</w:t>
            </w:r>
          </w:p>
        </w:tc>
        <w:tc>
          <w:tcPr>
            <w:tcW w:w="7923"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行政法规：《信息网络传播权保护条例》（国务院令第634号修订）</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334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2" w:hRule="atLeast"/>
          <w:jc w:val="center"/>
        </w:trPr>
        <w:tc>
          <w:tcPr>
            <w:tcW w:w="587"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494"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未经软件著作人许可，复制或者部分复制著作权人的软件，同时损害社会公共利益等行为</w:t>
            </w:r>
          </w:p>
        </w:tc>
        <w:tc>
          <w:tcPr>
            <w:tcW w:w="7923"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行政法规：《计算机软件保护条例》（国务院令第339号颁布、国务院令第632号修订）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第一项、第二项：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有前款第（一）项或者第（二）项行为的，可以并处每件100元或者货值金额1倍以上5倍以下的罚款；有前款第（三）项、第（四）项或者第（五）项行为的，可以并处20万元以下的罚款。</w:t>
            </w:r>
          </w:p>
        </w:tc>
        <w:tc>
          <w:tcPr>
            <w:tcW w:w="334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20" w:hRule="exact"/>
          <w:jc w:val="center"/>
        </w:trPr>
        <w:tc>
          <w:tcPr>
            <w:tcW w:w="587"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494"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未经软件著作人许可转让或者许可他人行使著作权人的软件著作权等行为</w:t>
            </w:r>
          </w:p>
        </w:tc>
        <w:tc>
          <w:tcPr>
            <w:tcW w:w="7923"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行政法规：《计算机软件保护条例》（国务院令第339号颁布、国务院令第632号修订）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第三、四、五项：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三）故意避开或者破坏著作权人为保护其软件著作权而采取的技术措施的；（四）故意删除或者改变软件权利管理电子信息的；（五）转让或者许可他人行使著作权人的软件著作权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有前款第（一）项或者第（二）项行为的，可以并处每件100元或者货值金额1倍以上5倍以下的罚款；有前款第（三）项、第（四）项或者第（五）项行为的，可以并处20万元以下的罚款。</w:t>
            </w:r>
          </w:p>
        </w:tc>
        <w:tc>
          <w:tcPr>
            <w:tcW w:w="3343" w:type="dxa"/>
            <w:tcBorders/>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55" w:hRule="atLeast"/>
          <w:jc w:val="center"/>
        </w:trPr>
        <w:tc>
          <w:tcPr>
            <w:tcW w:w="587" w:type="dxa"/>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494" w:type="dxa"/>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互联网信息服务提供者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明知互联网内容提供者通过互联网实施侵犯他人著作权的行为，或者虽不明知，但接到著作权人通知后未釆取措施移除相关内容，同时损害社会公共利益</w:t>
            </w:r>
          </w:p>
        </w:tc>
        <w:tc>
          <w:tcPr>
            <w:tcW w:w="7923" w:type="dxa"/>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1.部门规章：《互联网著作权行政保护办法》（2005年国家版权局、信息产业部令第5号）</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的规定并给予下列行政处罚：（一）没收违法所得；（二）处以非法经营额3倍以下的罚款；非法经营额难以计算的，可以处10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2.法律：《中华人民共和国著作权法》（2020年11月第三次修订）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tc>
        <w:tc>
          <w:tcPr>
            <w:tcW w:w="334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bl>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before="0" w:after="0"/>
        <w:rPr>
          <w:color w:val="000000" w:themeColor="text1"/>
          <w:sz w:val="32"/>
          <w:szCs w:val="32"/>
          <w14:textFill>
            <w14:solidFill>
              <w14:schemeClr w14:val="tx1"/>
            </w14:solidFill>
          </w14:textFill>
        </w:rPr>
      </w:pPr>
      <w:r>
        <w:rPr>
          <w:rFonts w:hint="eastAsia" w:ascii="黑体" w:hAnsi="黑体" w:eastAsia="黑体"/>
          <w:b w:val="0"/>
          <w:bCs w:val="0"/>
          <w:kern w:val="2"/>
          <w:sz w:val="32"/>
          <w:szCs w:val="32"/>
        </w:rPr>
        <w:t>五、电影</w:t>
      </w:r>
    </w:p>
    <w:tbl>
      <w:tblPr>
        <w:tblStyle w:val="6"/>
        <w:tblW w:w="13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71"/>
        <w:gridCol w:w="2488"/>
        <w:gridCol w:w="6542"/>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71"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2488"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事项</w:t>
            </w:r>
          </w:p>
        </w:tc>
        <w:tc>
          <w:tcPr>
            <w:tcW w:w="6542" w:type="dxa"/>
            <w:vMerge w:val="restart"/>
            <w:shd w:val="clear" w:color="000000" w:fill="FFFFFF"/>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依据</w:t>
            </w:r>
          </w:p>
        </w:tc>
        <w:tc>
          <w:tcPr>
            <w:tcW w:w="3528"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71"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2488"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6542" w:type="dxa"/>
            <w:vMerge w:val="continue"/>
            <w:vAlign w:val="center"/>
          </w:tcPr>
          <w:p>
            <w:pPr>
              <w:widowControl/>
              <w:snapToGrid w:val="0"/>
              <w:spacing w:line="0" w:lineRule="atLeast"/>
              <w:ind w:firstLine="321" w:firstLineChars="200"/>
              <w:rPr>
                <w:rFonts w:ascii="宋体" w:hAnsi="宋体" w:eastAsia="宋体" w:cs="宋体"/>
                <w:b/>
                <w:bCs/>
                <w:color w:val="000000" w:themeColor="text1"/>
                <w:kern w:val="0"/>
                <w:sz w:val="16"/>
                <w:szCs w:val="16"/>
                <w14:textFill>
                  <w14:solidFill>
                    <w14:schemeClr w14:val="tx1"/>
                  </w14:solidFill>
                </w14:textFill>
              </w:rPr>
            </w:pPr>
          </w:p>
        </w:tc>
        <w:tc>
          <w:tcPr>
            <w:tcW w:w="3528"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60" w:hRule="atLeast"/>
          <w:jc w:val="center"/>
        </w:trPr>
        <w:tc>
          <w:tcPr>
            <w:tcW w:w="57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2488"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伪造、变造、岀租、出借、买卖《中华人民共和国电影产业促进法》规定的许可证、批准或者证明文件，或者以其他形式非法转让本法规定的许可证、批准或者证明文件等行为</w:t>
            </w:r>
          </w:p>
        </w:tc>
        <w:tc>
          <w:tcPr>
            <w:tcW w:w="6542"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一、二项：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岀租、出借、买卖本法规定的许可证、批准或者证明文件，或者以其他形式非法转让本法规定的许可证、批准或者证明文件的；（二）以欺骗、贿赂等不正当手段取得本法规定的许可证、批准或者证明文件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第二款：伪造、变造、出租、出借、买卖或者以其他形式非法转让有关电影放映、发行许可证件，或者以欺骗、贿赂等不正当手段取得上述许可证件的，依照《中华人民共和国电影产业促进法》第四十八条的规定予以处罚。</w:t>
            </w:r>
          </w:p>
        </w:tc>
        <w:tc>
          <w:tcPr>
            <w:tcW w:w="3528"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4" w:hRule="atLeast"/>
          <w:jc w:val="center"/>
        </w:trPr>
        <w:tc>
          <w:tcPr>
            <w:tcW w:w="57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2488"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发行、放映、送展未取得电影公映许可证的电影等行为</w:t>
            </w:r>
          </w:p>
        </w:tc>
        <w:tc>
          <w:tcPr>
            <w:tcW w:w="6542"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二）取得电影公映许可证后变更电影内容，未依照规定重新取得电影公映许可证擅自发行、放映、送展的；（三）提供未取得电影公映许可证的电影参加电影节（展）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第三十一条：违反本规定，放映、发行未获得电影公映许可的电影的，依照《中华人民共和国电影产业促进法》第四十九条的规定予以处罚。</w:t>
            </w:r>
          </w:p>
        </w:tc>
        <w:tc>
          <w:tcPr>
            <w:tcW w:w="3528"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6" w:hRule="atLeast"/>
          <w:jc w:val="center"/>
        </w:trPr>
        <w:tc>
          <w:tcPr>
            <w:tcW w:w="57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2488"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违反《中华人民共和国电影产业促进法》擅自从事电影摄制、发行、放映活动等行为</w:t>
            </w:r>
          </w:p>
        </w:tc>
        <w:tc>
          <w:tcPr>
            <w:tcW w:w="6542"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第三十条第一款：违反本规定，擅自从事点播影院、点播院线电影放映、发行活动的，依照《中华人民共和国电影产业促进法》第四十七条的规定予以处罚。</w:t>
            </w:r>
          </w:p>
        </w:tc>
        <w:tc>
          <w:tcPr>
            <w:tcW w:w="3528" w:type="dxa"/>
            <w:tcBorders/>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1" w:hRule="atLeast"/>
          <w:jc w:val="center"/>
        </w:trPr>
        <w:tc>
          <w:tcPr>
            <w:tcW w:w="57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2488"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出口未取得《电影片公映许可证》的电影片</w:t>
            </w:r>
          </w:p>
        </w:tc>
        <w:tc>
          <w:tcPr>
            <w:tcW w:w="6542"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行政法规：《电影管理条例》（2002年2月施行）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八条：出口、发行、放映未取得《电影片公映许可证》的电影片的，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业整顿或者由原发证机关吊销许可证。</w:t>
            </w:r>
          </w:p>
        </w:tc>
        <w:tc>
          <w:tcPr>
            <w:tcW w:w="3528" w:type="dxa"/>
            <w:tcBorders/>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57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2488"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承接含有损害我国国家尊严、荣誉和利益，危害社会稳定，伤害民族感情等内容的境外电影的洗印、加工、后期制作等行为</w:t>
            </w:r>
          </w:p>
        </w:tc>
        <w:tc>
          <w:tcPr>
            <w:tcW w:w="6542"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2.行政法规：《电影管理条例》（2002年2月施行）</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w:t>
            </w:r>
          </w:p>
        </w:tc>
        <w:tc>
          <w:tcPr>
            <w:tcW w:w="3528"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14" w:hRule="atLeast"/>
          <w:jc w:val="center"/>
        </w:trPr>
        <w:tc>
          <w:tcPr>
            <w:tcW w:w="57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2488"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电影发行企业、电影院等</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有制造虚假交易、虚报瞒报销售收入等行为，扰乱电影市场秩序</w:t>
            </w:r>
          </w:p>
        </w:tc>
        <w:tc>
          <w:tcPr>
            <w:tcW w:w="6542"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一款：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第三十二条第一项：违反本规定，有下列行为之一的，依照《中华人民共和国电影产业促进法》第五十一条的规定予以处罚：（一）制造虚假交易、虚报瞒报销售收入，扰乱电影市场秩序的；</w:t>
            </w:r>
          </w:p>
        </w:tc>
        <w:tc>
          <w:tcPr>
            <w:tcW w:w="3528"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571" w:type="dxa"/>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2488" w:type="dxa"/>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电影院在向观众明示的电影开始放映时间之后至电影放映结束前放映广告</w:t>
            </w:r>
          </w:p>
        </w:tc>
        <w:tc>
          <w:tcPr>
            <w:tcW w:w="6542" w:type="dxa"/>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第五十一条第二款：电影院在向观众明示的电影开始放映时间之后至电影放映结束前放映广告的，由县级人民政府电影主管部门给予警告，责令改正；情节严重的，处一万元以上五万元以下的罚款。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第三十二条：违反本规定，有下列行为之一的，依照《中华人民共和国电影产业促进法》第五十一条的规定予以处罚：（二）在电影开始放映之后至放映结束前放映广告的。</w:t>
            </w:r>
          </w:p>
        </w:tc>
        <w:tc>
          <w:tcPr>
            <w:tcW w:w="3528"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49" w:hRule="atLeast"/>
          <w:jc w:val="center"/>
        </w:trPr>
        <w:tc>
          <w:tcPr>
            <w:tcW w:w="571" w:type="dxa"/>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2488" w:type="dxa"/>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电影院</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侵犯与电影有关的知识产权，情节严重</w:t>
            </w:r>
          </w:p>
        </w:tc>
        <w:tc>
          <w:tcPr>
            <w:tcW w:w="6542" w:type="dxa"/>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r>
              <w:rPr>
                <w:rFonts w:hint="eastAsia" w:ascii="宋体" w:hAnsi="宋体" w:eastAsia="宋体" w:cs="宋体"/>
                <w:color w:val="000000" w:themeColor="text1"/>
                <w:kern w:val="0"/>
                <w:sz w:val="16"/>
                <w:szCs w:val="16"/>
                <w14:textFill>
                  <w14:solidFill>
                    <w14:schemeClr w14:val="tx1"/>
                  </w14:solidFill>
                </w14:textFill>
              </w:rPr>
              <w:br w:type="page"/>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四条：有下列情形之一的，依照有关法律、行政法规及国家有关规定予以处罚：（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电影院有前款第四项规定行为，情节严重的，由原发证机关吊销许可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第三十四条：点播影院、点播院线违反著作权法律法规的，由著作权行政管理部门依法予以处罚；情节严重的，由原发证机关吊销许可证。</w:t>
            </w:r>
          </w:p>
          <w:p>
            <w:pPr>
              <w:widowControl/>
              <w:snapToGrid w:val="0"/>
              <w:spacing w:line="0" w:lineRule="atLeast"/>
              <w:ind w:firstLine="320" w:firstLineChars="200"/>
              <w:rPr>
                <w:rFonts w:ascii="MS Gothic" w:hAnsi="MS Gothic" w:eastAsia="MS Gothic"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3.司法解释：《最高人民法院 最高人民检察院发布关于办理侵犯知识产权刑事案件具体应用法律若干问题的司法解释（二）》（2007年4月4日由最高人民法院审判委员会第1422次会议、最高人民检察院第十届检察委员会第75次会议通过，2007年4月5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条：以营利为目的，未经著作权人许可，复制发行其文字作品、音乐、电影、电视、录像作品、计算机软件及其他作品，复制品数量合计在五百张（份）以上的，属于刑法第二百一十七条规定的“有其他严重情节”；复制品数量在二千五百张（份）以上的，属于刑法第二百一十七条规定的“有其他特别严重情节”。</w:t>
            </w:r>
          </w:p>
        </w:tc>
        <w:tc>
          <w:tcPr>
            <w:tcW w:w="3528" w:type="dxa"/>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1" w:hRule="exact"/>
          <w:jc w:val="center"/>
        </w:trPr>
        <w:tc>
          <w:tcPr>
            <w:tcW w:w="57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2488"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未按时办理点播影院编码、点播院线编码登记等行为</w:t>
            </w:r>
          </w:p>
        </w:tc>
        <w:tc>
          <w:tcPr>
            <w:tcW w:w="6542"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第三十三条：违反本规定，有下列行为之一的，由县级以上人民政府电影主管部门责令限期改正，给予警告，可以并处3万元以下的罚款：（一）未按时办理点播影院编码、点播院线编码登记的；</w:t>
            </w:r>
          </w:p>
        </w:tc>
        <w:tc>
          <w:tcPr>
            <w:tcW w:w="3528"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1" w:hRule="exact"/>
          <w:jc w:val="center"/>
        </w:trPr>
        <w:tc>
          <w:tcPr>
            <w:tcW w:w="571"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2488"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点播影院放映所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加入点播院线发行范围之外的影片</w:t>
            </w:r>
          </w:p>
        </w:tc>
        <w:tc>
          <w:tcPr>
            <w:tcW w:w="6542"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第三十三条：违反本规定，有下列行为之一的，由县级以上人民政府电影主管部门责令限期改正，给予警告，可以并处3万元以下的罚款：（二）点播影院放映所加入点播院线发行范围之外的影片的；</w:t>
            </w:r>
          </w:p>
        </w:tc>
        <w:tc>
          <w:tcPr>
            <w:tcW w:w="3528"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1" w:hRule="exact"/>
          <w:jc w:val="center"/>
        </w:trPr>
        <w:tc>
          <w:tcPr>
            <w:tcW w:w="571" w:type="dxa"/>
            <w:vMerge w:val="restart"/>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2488"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点播院线</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未按时报送经营数据</w:t>
            </w:r>
          </w:p>
        </w:tc>
        <w:tc>
          <w:tcPr>
            <w:tcW w:w="6542"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第三十三条第（三）项：违反本规定，有下列行为之一的，由县级以上人民政府电影主管部门责令限期改正，给予警告，可以并处3万元以下的罚款：（三）点播院线未按时报送经营数据的；</w:t>
            </w:r>
          </w:p>
        </w:tc>
        <w:tc>
          <w:tcPr>
            <w:tcW w:w="3528"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1" w:hRule="exact"/>
          <w:jc w:val="center"/>
        </w:trPr>
        <w:tc>
          <w:tcPr>
            <w:tcW w:w="571" w:type="dxa"/>
            <w:vMerge w:val="restart"/>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w:t>
            </w:r>
          </w:p>
        </w:tc>
        <w:tc>
          <w:tcPr>
            <w:tcW w:w="2488"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点播影院在</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同一影厅内开展电影院的电影放映活动</w:t>
            </w:r>
          </w:p>
        </w:tc>
        <w:tc>
          <w:tcPr>
            <w:tcW w:w="6542"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第三十三条：违反本规定，有下列行为之一的，由县级以上人民政府电影主管部门责令限期改正，给予警告，可以并处3万元以下的罚款：（四）点播影院在同一影厅内开展电影院的电影放映活动的；</w:t>
            </w:r>
          </w:p>
        </w:tc>
        <w:tc>
          <w:tcPr>
            <w:tcW w:w="3528"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71" w:type="dxa"/>
            <w:vMerge w:val="restart"/>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13</w:t>
            </w:r>
          </w:p>
        </w:tc>
        <w:tc>
          <w:tcPr>
            <w:tcW w:w="2488"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点播院线</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未有效履行运营管理职责，致使所辖点播影院出现违法行为</w:t>
            </w:r>
          </w:p>
        </w:tc>
        <w:tc>
          <w:tcPr>
            <w:tcW w:w="6542"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五）点播院线未有效履行运营管理职责，致使所辖点播影院出现违法行为的</w:t>
            </w:r>
          </w:p>
        </w:tc>
        <w:tc>
          <w:tcPr>
            <w:tcW w:w="3528" w:type="dxa"/>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r>
              <w:rPr>
                <w:rFonts w:hint="eastAsia" w:ascii="宋体" w:hAnsi="宋体" w:eastAsia="宋体" w:cs="宋体"/>
                <w:color w:val="000000" w:themeColor="text1"/>
                <w:kern w:val="0"/>
                <w:sz w:val="16"/>
                <w:szCs w:val="16"/>
                <w:lang w:eastAsia="zh-CN"/>
                <w14:textFill>
                  <w14:solidFill>
                    <w14:schemeClr w14:val="tx1"/>
                  </w14:solidFill>
                </w14:textFill>
              </w:rPr>
              <w:tab/>
            </w:r>
          </w:p>
          <w:p>
            <w:pPr>
              <w:widowControl/>
              <w:tabs>
                <w:tab w:val="left" w:pos="507"/>
              </w:tabs>
              <w:snapToGrid w:val="0"/>
              <w:spacing w:line="0" w:lineRule="atLeast"/>
              <w:jc w:val="center"/>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4" w:hRule="exact"/>
          <w:jc w:val="center"/>
        </w:trPr>
        <w:tc>
          <w:tcPr>
            <w:tcW w:w="571"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2488"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542"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3528" w:type="dxa"/>
            <w:tcBorders/>
            <w:shd w:val="clear" w:color="000000" w:fill="FFFFFF"/>
            <w:noWrap/>
            <w:vAlign w:val="center"/>
          </w:tcPr>
          <w:p>
            <w:pPr>
              <w:widowControl/>
              <w:snapToGrid w:val="0"/>
              <w:spacing w:line="0" w:lineRule="atLeas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1" w:hRule="exact"/>
          <w:jc w:val="center"/>
        </w:trPr>
        <w:tc>
          <w:tcPr>
            <w:tcW w:w="571" w:type="dxa"/>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w:t>
            </w:r>
          </w:p>
        </w:tc>
        <w:tc>
          <w:tcPr>
            <w:tcW w:w="2488" w:type="dxa"/>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点播影院、点播院线</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未按照点播影院技术规范的要求选用计费系统和放映系统设备，放映质量不达标</w:t>
            </w:r>
          </w:p>
        </w:tc>
        <w:tc>
          <w:tcPr>
            <w:tcW w:w="6542" w:type="dxa"/>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六）点播影院、点播院线未按照点播影院技术规范的要求选用计费系统和放映系统设备，放映质量不达标的</w:t>
            </w:r>
          </w:p>
        </w:tc>
        <w:tc>
          <w:tcPr>
            <w:tcW w:w="3528"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bl>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before="0" w:after="0"/>
        <w:rPr>
          <w:rFonts w:ascii="黑体" w:hAnsi="黑体" w:eastAsia="黑体"/>
          <w:b w:val="0"/>
          <w:bCs w:val="0"/>
          <w:kern w:val="2"/>
          <w:sz w:val="32"/>
          <w:szCs w:val="32"/>
        </w:rPr>
      </w:pPr>
      <w:r>
        <w:rPr>
          <w:rFonts w:hint="eastAsia" w:ascii="黑体" w:hAnsi="黑体" w:eastAsia="黑体"/>
          <w:b w:val="0"/>
          <w:bCs w:val="0"/>
          <w:kern w:val="2"/>
          <w:sz w:val="32"/>
          <w:szCs w:val="32"/>
        </w:rPr>
        <w:t>六、广播电视</w:t>
      </w:r>
    </w:p>
    <w:tbl>
      <w:tblPr>
        <w:tblStyle w:val="6"/>
        <w:tblW w:w="13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60"/>
        <w:gridCol w:w="2309"/>
        <w:gridCol w:w="7720"/>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60"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2309"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事项</w:t>
            </w:r>
          </w:p>
        </w:tc>
        <w:tc>
          <w:tcPr>
            <w:tcW w:w="7720" w:type="dxa"/>
            <w:vMerge w:val="restart"/>
            <w:shd w:val="clear" w:color="000000" w:fill="FFFFFF"/>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依据</w:t>
            </w:r>
          </w:p>
        </w:tc>
        <w:tc>
          <w:tcPr>
            <w:tcW w:w="2773" w:type="dxa"/>
            <w:vMerge w:val="restart"/>
            <w:shd w:val="clear" w:color="000000" w:fill="FFFFFF"/>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60"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2309"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7720" w:type="dxa"/>
            <w:vMerge w:val="continue"/>
            <w:vAlign w:val="center"/>
          </w:tcPr>
          <w:p>
            <w:pPr>
              <w:widowControl/>
              <w:snapToGrid w:val="0"/>
              <w:spacing w:line="0" w:lineRule="atLeast"/>
              <w:ind w:firstLine="321" w:firstLineChars="200"/>
              <w:rPr>
                <w:rFonts w:ascii="宋体" w:hAnsi="宋体" w:eastAsia="宋体" w:cs="宋体"/>
                <w:b/>
                <w:bCs/>
                <w:color w:val="000000" w:themeColor="text1"/>
                <w:kern w:val="0"/>
                <w:sz w:val="16"/>
                <w:szCs w:val="16"/>
                <w14:textFill>
                  <w14:solidFill>
                    <w14:schemeClr w14:val="tx1"/>
                  </w14:solidFill>
                </w14:textFill>
              </w:rPr>
            </w:pPr>
          </w:p>
        </w:tc>
        <w:tc>
          <w:tcPr>
            <w:tcW w:w="2773" w:type="dxa"/>
            <w:vMerge w:val="continue"/>
            <w:vAlign w:val="center"/>
          </w:tcPr>
          <w:p>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2" w:hRule="atLeast"/>
          <w:jc w:val="center"/>
        </w:trPr>
        <w:tc>
          <w:tcPr>
            <w:tcW w:w="460"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2309"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卫星地面接收设施的宣传、广告</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违反国家广播电视总局有关规定</w:t>
            </w:r>
          </w:p>
        </w:tc>
        <w:tc>
          <w:tcPr>
            <w:tcW w:w="7720"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部门规章：《&lt;卫星电视广播地面接收设施管理规定&gt;实施细则》（1994年国家广播电影电视部令第11号，2021年国家广播电视总局令第10号修订）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第十六条第（三）项：对违反本细则下列规定的单位和个人，由县级以上人民政府广播电视行政部门予以处罚：（三）对违反本细则第十三条规定的，可给予警告、通报批评、五千元至三万元罚款；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第十三条　卫星地面接收设施的宣传、广告，不得违反国家广播电视总局的有关规定。</w:t>
            </w:r>
          </w:p>
        </w:tc>
        <w:tc>
          <w:tcPr>
            <w:tcW w:w="277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3" w:hRule="atLeast"/>
          <w:jc w:val="center"/>
        </w:trPr>
        <w:tc>
          <w:tcPr>
            <w:tcW w:w="460"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2309"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擅自设立广播电台、电视台、教育电视台、有线广播电视传输覆盖网、广播电视站、广播电视发射台、转播台、微波站、卫星上行站</w:t>
            </w:r>
          </w:p>
        </w:tc>
        <w:tc>
          <w:tcPr>
            <w:tcW w:w="7720"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行政法规：《广播电视管理条例》（国务院令第228号颁布，国务院令第676号、第732号修订）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277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5" w:hRule="atLeast"/>
          <w:jc w:val="center"/>
        </w:trPr>
        <w:tc>
          <w:tcPr>
            <w:tcW w:w="460"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2309"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未经批准，擅自以卫星等传输方式进口、转播境外广播电视节目，擅自利用有线广播电视传输覆盖网播放节目以及对侵占、干扰广播电视专用频率等行为</w:t>
            </w:r>
          </w:p>
        </w:tc>
        <w:tc>
          <w:tcPr>
            <w:tcW w:w="7720"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行政法规：《广播电视管理条例》（国务院令第228号颁布，国务院令第676号、第732号修订）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四）(五）（七）项：违反本条例规定，有下列行为之一的，由县级以上人民政府广播电视行政部门责令停止违法活动，给予警告，没收违法所得和从事违法活动的专用工具、设备，可以并处2万元以下的罚款；情节严重的，由原批准机关吊销许可证：（四）未经批准，擅自以卫星等传输方式进口、转播境外广播电视节目的；（五）未经批准，擅自利用有线广播电视传输覆盖网播放节目的；（七）侵占、干扰广播电视专用频率，擅自截传、干扰、解扰广播电视信号的</w:t>
            </w:r>
          </w:p>
        </w:tc>
        <w:tc>
          <w:tcPr>
            <w:tcW w:w="277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460"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2309"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危害广播电台、电视台安全播出的，破坏广播电视设施</w:t>
            </w:r>
          </w:p>
        </w:tc>
        <w:tc>
          <w:tcPr>
            <w:tcW w:w="7720"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行政法规：《广播电视管理条例》（国务院令第228号颁布，国务院令第676号、第732号修订）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二条：违反本条例规定，危害广播电台、电视台安全播出的，破坏广播电视设施的，由县级以上人民政府广播电视行政部门责令停止违法活动；情节严重的，并处2万元以上5万元以下的罚款；造成危害的，侵害人应当依法赔偿损失，构成犯罪的，依法追究刑事责任。</w:t>
            </w:r>
          </w:p>
        </w:tc>
        <w:tc>
          <w:tcPr>
            <w:tcW w:w="277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0" w:hRule="atLeast"/>
          <w:jc w:val="center"/>
        </w:trPr>
        <w:tc>
          <w:tcPr>
            <w:tcW w:w="460"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2309"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擅自从事广播电视节目传送业务（有线）</w:t>
            </w:r>
          </w:p>
        </w:tc>
        <w:tc>
          <w:tcPr>
            <w:tcW w:w="7720"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部门规章：《广播电视节目传送业务管理办法》（2004年国家广播电影电视总局令第33号，2015年国家新闻出版广电总局令第3号修订，2022年国家广播电视总局令第12号修订）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　违反本办法规定，擅自从事广播电视节目传送业务的，由县级以上人民政府广播电视主管部门没收其从事违法活动的设备，并处投资总额1倍以上2倍以下的罚款；构成犯罪的，依法追究刑事责任。</w:t>
            </w:r>
          </w:p>
        </w:tc>
        <w:tc>
          <w:tcPr>
            <w:tcW w:w="277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460"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2309"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7720"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773" w:type="dxa"/>
            <w:shd w:val="clear" w:color="000000" w:fill="FFFFFF"/>
            <w:noWrap/>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8" w:hRule="atLeast"/>
          <w:jc w:val="center"/>
        </w:trPr>
        <w:tc>
          <w:tcPr>
            <w:tcW w:w="460"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2309"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从事广播电视节目传送业务（有线）时，</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擅自传送境外卫星电视节目</w:t>
            </w:r>
          </w:p>
        </w:tc>
        <w:tc>
          <w:tcPr>
            <w:tcW w:w="7720"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部门规章：《广播电视节目传送业务管理办法》（2004年国家广播电影电视总局令第33号，2015年国家新闻出版广电总局令第3号修订，2022年国家广播电视总局令第12号修订）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违反本办法规定，有下列行为之一的，由县级以上人民政府广播电视主管部门责令停止违法活动，给予警告，没收违法所得，可以并处二万元以下罚款；情节严重的，由原发证机关吊销许可证。构成犯罪的，依法追究刑事责任：（三）擅自传送境外卫星电视节目的。</w:t>
            </w:r>
          </w:p>
        </w:tc>
        <w:tc>
          <w:tcPr>
            <w:tcW w:w="277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34" w:hRule="atLeast"/>
          <w:jc w:val="center"/>
        </w:trPr>
        <w:tc>
          <w:tcPr>
            <w:tcW w:w="460"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2309"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擅自提供卫星地面接收设施安装服务</w:t>
            </w:r>
          </w:p>
        </w:tc>
        <w:tc>
          <w:tcPr>
            <w:tcW w:w="7720"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1.行政法规：《卫星电视广播地面接收设施管理规定》（国务院令第129号发布，国务院令第638号第一次修订，国务院令第703号第二次修订）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第十条第三款：违反本规定，擅自安装和使用卫星地面接收设施的，由广播电视行政部门没收其安装和使用的卫星地面接收设施，对个人可以并处5000元以下的罚款，对单位可以并处5万元以下的罚款。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2.部门规章：《卫星电视广播地面接收设施安装服务暂行办法》（2009年国家广播电影电视总局令第60号发布，2021年国家广播电视总局令第10号修订）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第十五条第一款</w:t>
            </w:r>
            <w:r>
              <w:rPr>
                <w:rFonts w:ascii="宋体" w:hAnsi="宋体" w:eastAsia="宋体" w:cs="宋体"/>
                <w:color w:val="000000" w:themeColor="text1"/>
                <w:kern w:val="0"/>
                <w:sz w:val="16"/>
                <w:szCs w:val="16"/>
                <w14:textFill>
                  <w14:solidFill>
                    <w14:schemeClr w14:val="tx1"/>
                  </w14:solidFill>
                </w14:textFill>
              </w:rPr>
              <w:t>：违反本办法规定，擅自提供卫星地面接收设</w:t>
            </w:r>
            <w:r>
              <w:rPr>
                <w:rFonts w:hint="eastAsia" w:ascii="宋体" w:hAnsi="宋体" w:eastAsia="宋体" w:cs="宋体"/>
                <w:color w:val="000000" w:themeColor="text1"/>
                <w:kern w:val="0"/>
                <w:sz w:val="16"/>
                <w:szCs w:val="16"/>
                <w14:textFill>
                  <w14:solidFill>
                    <w14:schemeClr w14:val="tx1"/>
                  </w14:solidFill>
                </w14:textFill>
              </w:rPr>
              <w:t>施安装服务的，由县级以上人民政府广播电视行政部门给予警告、通报批评，没收其安装的卫星地面接收设施，对个人可以并处五千元以下的罚款，对单位可以并处五万元以下的罚款。</w:t>
            </w:r>
          </w:p>
        </w:tc>
        <w:tc>
          <w:tcPr>
            <w:tcW w:w="277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68" w:hRule="atLeast"/>
          <w:jc w:val="center"/>
        </w:trPr>
        <w:tc>
          <w:tcPr>
            <w:tcW w:w="460"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2309"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单位、个人</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擅自安装和使用卫星地面接收设施</w:t>
            </w:r>
          </w:p>
        </w:tc>
        <w:tc>
          <w:tcPr>
            <w:tcW w:w="7720"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行政法规：《卫星电视广播地面接收设施管理规定》（国务院令第129号发布，国务院令第638号第一次修订，国务院令第703号第二次修订）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第十条第三款：违反本规定，擅自安装和使用卫星地面接收设施的，由广播电视行政部门没收其安装和使用的卫星地面接收设施，对个人可以并处5000元以下的罚款，对单位可以并处5万元以下的罚款。</w:t>
            </w:r>
          </w:p>
        </w:tc>
        <w:tc>
          <w:tcPr>
            <w:tcW w:w="277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8" w:hRule="atLeast"/>
          <w:jc w:val="center"/>
        </w:trPr>
        <w:tc>
          <w:tcPr>
            <w:tcW w:w="460"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2309"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未持有《许可证》而擅自设置卫星地面接收设施或者接收外国卫星传送的电视节目</w:t>
            </w:r>
          </w:p>
        </w:tc>
        <w:tc>
          <w:tcPr>
            <w:tcW w:w="7720"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《卫星地面接收设施接收外国卫星传送电视节目管理办法》（1990年广播电影电视部、2018年公安部、国家安全部第1号令发布,国务院令第703号修订）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违反本办法第七条的规定，未持有《许可证》而擅自设置卫星地面接收设施或者接收外国卫星传送的电视节目的单位，省、自治区、直辖市广播电视厅（局）会同公安、国家安全厅（局）可以没收其卫星地面接收设施，并处以5万元以下的罚款。对单位的直接负责的主管人员和其他直接责任人员，可以建议其主管部门给予行政处分；有私自录制、传播行为，情节严重构成犯罪的，由司法机关依法追究刑事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第七条：已有卫星地面接收设施的单位，未持有《许可证》的，不得接收外国卫星传送的电视节目；其他单位，未持有《许可证》的，不得设置卫星地面接收设施接收外国卫星传送的电视节目。</w:t>
            </w:r>
          </w:p>
        </w:tc>
        <w:tc>
          <w:tcPr>
            <w:tcW w:w="277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5" w:hRule="atLeast"/>
          <w:jc w:val="center"/>
        </w:trPr>
        <w:tc>
          <w:tcPr>
            <w:tcW w:w="460" w:type="dxa"/>
            <w:vMerge w:val="restart"/>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2309" w:type="dxa"/>
            <w:vMerge w:val="restart"/>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截断、损毁广播电视传输设施等行为</w:t>
            </w:r>
          </w:p>
        </w:tc>
        <w:tc>
          <w:tcPr>
            <w:tcW w:w="7720" w:type="dxa"/>
            <w:vMerge w:val="restart"/>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《福建省广播电视设施保护条例》（2011年8月1日起施行）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违反本条例规定，有第八条第（一）项至第（五）项行为之一的，由县级以上地方人民政府广播电视行政管理部门责令停止违法活动，没收从事违法活动的专用工具和设备，对个人处以一千元以上一万元以下罚款，对单位处以二万元以上十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第（一）至（五）项：依法建成的广播电视设施受国家法律保护。禁止任何组织或者个人实施下列行为：（一）截断、损毁广播电视传输设施；（二）在中短波广播发射台发射天线场地地网范围内，进行建筑施工、从事深挖超过30厘米的作业；（三）在发射设施周围200米范围内爆破作业、放火烧荒；（四）在中波发射天线周围150米范围内建筑施工，或者以天线外150米处为计算起点，兴建高度超过仰角3度的高大建筑；（五）在电视、调频发射天线周围500米范围内进行其高度超过天线发射部分的建筑施工；</w:t>
            </w:r>
          </w:p>
        </w:tc>
        <w:tc>
          <w:tcPr>
            <w:tcW w:w="277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46" w:hRule="atLeast"/>
          <w:jc w:val="center"/>
        </w:trPr>
        <w:tc>
          <w:tcPr>
            <w:tcW w:w="460" w:type="dxa"/>
            <w:shd w:val="clear" w:color="000000" w:fill="FFFFFF"/>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2309" w:type="dxa"/>
            <w:shd w:val="clear" w:color="000000" w:fill="FFFFFF"/>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建设单位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未采取有效防护措施即进行施工，造成广播电视传输业务中断等行为</w:t>
            </w:r>
          </w:p>
        </w:tc>
        <w:tc>
          <w:tcPr>
            <w:tcW w:w="7720" w:type="dxa"/>
            <w:shd w:val="clear" w:color="000000" w:fill="FFFFFF"/>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《福建省广播电视设施保护条例》（2011年8月1日起施行）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违反本条例规定，有下列情形之一，造成广播电视传输业务中断的，由县级以上地方人民政府广播电视行政管理部门责令改正，对个人处以一千元以上一万元以下罚款，对单位处以二万元以上十万元以下罚款；违反治安管理规定的，由公安机关依法给予治安管理处罚；构成犯罪的，依法追究刑事责任：（一）建设单位未采取有效防护措施即进行施工的；（二）新架设电力、电气化铁路输电等线路，未按国家规定的技术标准与依法建成的架空或者埋设的广播电视设施保持安全距离的；（三）在广播电视架空线路附近未采取有效防护措施即砍伐林木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有前款规定情形之一的，广播电视设施管理单位可以要求停止侵害、恢复原状；造成损害的，可以要求依法予以赔偿。</w:t>
            </w:r>
          </w:p>
        </w:tc>
        <w:tc>
          <w:tcPr>
            <w:tcW w:w="2773" w:type="dxa"/>
            <w:tcBorders/>
            <w:shd w:val="clear" w:color="000000" w:fill="FFFFFF"/>
            <w:noWrap/>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bl>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before="0" w:after="0"/>
        <w:rPr>
          <w:color w:val="000000" w:themeColor="text1"/>
          <w:sz w:val="32"/>
          <w:szCs w:val="32"/>
          <w14:textFill>
            <w14:solidFill>
              <w14:schemeClr w14:val="tx1"/>
            </w14:solidFill>
          </w14:textFill>
        </w:rPr>
      </w:pPr>
      <w:r>
        <w:rPr>
          <w:rFonts w:hint="eastAsia" w:ascii="黑体" w:hAnsi="黑体" w:eastAsia="黑体"/>
          <w:b w:val="0"/>
          <w:bCs w:val="0"/>
          <w:kern w:val="2"/>
          <w:sz w:val="32"/>
          <w:szCs w:val="32"/>
        </w:rPr>
        <w:t>七、旅游</w:t>
      </w:r>
    </w:p>
    <w:tbl>
      <w:tblPr>
        <w:tblStyle w:val="6"/>
        <w:tblW w:w="11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83"/>
        <w:gridCol w:w="1781"/>
        <w:gridCol w:w="6547"/>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9" w:hRule="atLeast"/>
          <w:jc w:val="center"/>
        </w:trPr>
        <w:tc>
          <w:tcPr>
            <w:tcW w:w="583" w:type="dxa"/>
            <w:vMerge w:val="restart"/>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781" w:type="dxa"/>
            <w:vMerge w:val="restart"/>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事项</w:t>
            </w:r>
          </w:p>
        </w:tc>
        <w:tc>
          <w:tcPr>
            <w:tcW w:w="6547" w:type="dxa"/>
            <w:vMerge w:val="restart"/>
            <w:vAlign w:val="center"/>
          </w:tcPr>
          <w:p>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依据</w:t>
            </w:r>
          </w:p>
        </w:tc>
        <w:tc>
          <w:tcPr>
            <w:tcW w:w="2856" w:type="dxa"/>
            <w:vMerge w:val="restart"/>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83" w:type="dxa"/>
            <w:vMerge w:val="continue"/>
            <w:vAlign w:val="center"/>
          </w:tcPr>
          <w:p>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781" w:type="dxa"/>
            <w:vMerge w:val="continue"/>
            <w:vAlign w:val="center"/>
          </w:tcPr>
          <w:p>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c>
          <w:tcPr>
            <w:tcW w:w="6547" w:type="dxa"/>
            <w:vMerge w:val="continue"/>
            <w:vAlign w:val="center"/>
          </w:tcPr>
          <w:p>
            <w:pPr>
              <w:widowControl/>
              <w:snapToGrid w:val="0"/>
              <w:spacing w:line="0" w:lineRule="atLeast"/>
              <w:ind w:firstLine="321" w:firstLineChars="200"/>
              <w:rPr>
                <w:rFonts w:ascii="宋体" w:hAnsi="宋体" w:eastAsia="宋体" w:cs="宋体"/>
                <w:b/>
                <w:bCs/>
                <w:color w:val="000000" w:themeColor="text1"/>
                <w:kern w:val="0"/>
                <w:sz w:val="16"/>
                <w:szCs w:val="16"/>
                <w14:textFill>
                  <w14:solidFill>
                    <w14:schemeClr w14:val="tx1"/>
                  </w14:solidFill>
                </w14:textFill>
              </w:rPr>
            </w:pPr>
          </w:p>
        </w:tc>
        <w:tc>
          <w:tcPr>
            <w:tcW w:w="2856" w:type="dxa"/>
            <w:vMerge w:val="continue"/>
            <w:vAlign w:val="center"/>
          </w:tcPr>
          <w:p>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4"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未经许可经营旅行社业务</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28"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未经许可经营出境旅游、边境旅游业务，或者出租、出借旅行社业务经营许可证，或者以其他方式非法转让旅行社业务经营许可等行为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第二十九条第一款第二项、第三项：旅行社可以经营下列业务：（二）出境旅游；（三）边境旅游。</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57"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未按照规定为出境或者入境团队旅游安排领队或者导游全程陪同等行为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（一）未按照规定为出境或者入境团队旅游安排领队或者导游全程陪同的；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（二）安排未取得导游证的人员提供导游服务或者安排不具备领队条件的人员提供领队服务的；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（三）未向临时聘用的导游支付导游服务费用的；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（四）要求导游垫付或者向导游收取费用的。</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30"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进行虚假宣传，误导旅游者等行为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（一）进行虚假宣传，误导旅游者的；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（二）向不合格的供应商订购产品和服务的；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（三）未按照规定投保旅行社责任保险的。</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1"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以不合理的低价组织旅游活动，诱骗旅游者，并通过安排购物或者另行付费旅游项目获取回扣等不正当利益等行为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以下罚款，并暂扣或者吊销导游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第三十五条：旅行社不得以不合理的低价组织旅游活动，诱骗旅游者，并通过安排购物或者另行付费旅游项目获取回扣等不正当利益。</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旅行社组织、接待旅游者，不得指定具体购物场所，不得安排另行付费旅游项目。但是，经双方协商一致或者旅游者要求，且不影响其他旅游者行程安排的除外。</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发生违反前两款规定情形的，旅游者有权在旅游行程结束后三十日内，要求旅行社为其办理退货并先行垫付退货货款，或者退还另行付费旅游项目的费用。</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6"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未履行《中华人民共和国旅游法》第五十五条规定的报告义务</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第十六条：出境旅游者不得在境外非法滞留，随团出境的旅游者不得擅自分团、脱团。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入境旅游者不得在境内非法滞留，随团入境的旅游者不得擅自分团、脱团。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第五十五条：旅游经营者组织、接待出入境旅游，发现旅游者从事违法活动或者有违反本法第十六条规定情形的，应当及时向公安机关、旅游主管部门或者我国驻外机构报告。</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92"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在旅游行程中擅自变更旅游行程安排，严重损害旅游者权益等行为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（一）在旅游行程中擅自变更旅游行程安排，严重损害旅游者权益的；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（二）拒绝履行合同的；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（三）未征得旅游者书面同意，委托其他旅行社履行包价旅游合同的。</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旅行社安排旅游者参观或者参与</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违反我国法律、法规和社会公德的项目或者活动</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3"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未取得导游证或者不具备领队条件而从事导游、领队活动</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第一百零二条第一款：违反本法规定，未取得导游证或者不具备领队条件而从事导游、领队活动的，由旅游主管部门责令改正，没收违法所得，并处一千元以上一万元以下罚款，予以公告。</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导游、领队</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私自承揽业务</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第一百零二条第二款　导游、领队违反本法规定，私自承揽业务的，由旅游主管部门责令改正，没收违法所得，处一千元以上一万元以下罚款，并暂扣或者吊销导游证。</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583"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1781" w:type="dxa"/>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导游、领队</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向旅游者索取小费</w:t>
            </w:r>
          </w:p>
        </w:tc>
        <w:tc>
          <w:tcPr>
            <w:tcW w:w="6547" w:type="dxa"/>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第一百零二条第三款：导游、领队违反本法规定，向旅游者索取小费的，由旅游主管部门责令退还，处一千元以上一万元以下罚款；情节严重的，并暂扣或者吊销导游证。</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6" w:hRule="atLeast"/>
          <w:jc w:val="center"/>
        </w:trPr>
        <w:tc>
          <w:tcPr>
            <w:tcW w:w="583"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w:t>
            </w:r>
          </w:p>
        </w:tc>
        <w:tc>
          <w:tcPr>
            <w:tcW w:w="1781" w:type="dxa"/>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给予或者收受贿赂，情节严重</w:t>
            </w:r>
          </w:p>
        </w:tc>
        <w:tc>
          <w:tcPr>
            <w:tcW w:w="6547" w:type="dxa"/>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第一百零四条：旅游经营者违反本法规定，给予或者收受贿赂的，由市场监督管理部门依照有关法律、法规的规定处罚；情节严重的，并由旅游主管部门吊销旅行社业务经营许可证。</w:t>
            </w:r>
          </w:p>
        </w:tc>
        <w:tc>
          <w:tcPr>
            <w:tcW w:w="2856"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6" w:hRule="atLeast"/>
          <w:jc w:val="center"/>
        </w:trPr>
        <w:tc>
          <w:tcPr>
            <w:tcW w:w="583"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13</w:t>
            </w:r>
          </w:p>
        </w:tc>
        <w:tc>
          <w:tcPr>
            <w:tcW w:w="1781" w:type="dxa"/>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旅行社服务网点</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从事招徕、咨询以外的旅行社业务经营活动</w:t>
            </w:r>
          </w:p>
        </w:tc>
        <w:tc>
          <w:tcPr>
            <w:tcW w:w="6547" w:type="dxa"/>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《旅行社条例》（行政法规，2009年2月20日国务院令第550号公布，根据2016年2月6日国务院令第666号第1次修订。根据2017年3月1日国务院令第676号第2次修订，根据2020年11月29日国务院令第732号第三次修订）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第三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（三）旅行社服务网点从事招徕、咨询以外的旅行社业务经营活动的。</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1" w:hRule="atLeast"/>
          <w:jc w:val="center"/>
        </w:trPr>
        <w:tc>
          <w:tcPr>
            <w:tcW w:w="583"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w:t>
            </w:r>
          </w:p>
        </w:tc>
        <w:tc>
          <w:tcPr>
            <w:tcW w:w="1781" w:type="dxa"/>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未在规定期限内向其质量保证金账户存入、增存、补足质量保证金或者提交相应的银行担保拒不改正</w:t>
            </w:r>
          </w:p>
        </w:tc>
        <w:tc>
          <w:tcPr>
            <w:tcW w:w="6547" w:type="dxa"/>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2856"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5" w:hRule="atLeast"/>
          <w:jc w:val="center"/>
        </w:trPr>
        <w:tc>
          <w:tcPr>
            <w:tcW w:w="583"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15</w:t>
            </w:r>
          </w:p>
        </w:tc>
        <w:tc>
          <w:tcPr>
            <w:tcW w:w="1781" w:type="dxa"/>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旅行社变</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更名称、经营场所、法定代表人等登记事项或者终止经营，未在规定期限内向原许可的旅游行政管理部门备案，换领或者交回旅行社业务经营许可证且拒不改正等行为</w:t>
            </w:r>
          </w:p>
        </w:tc>
        <w:tc>
          <w:tcPr>
            <w:tcW w:w="6547" w:type="dxa"/>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第五十条第一、三项：违反本条例的规定，旅行社有下列情形之一的，由旅游行政管理部门责令改正；拒不改正的，处1万元以下的罚款：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（一）变更名称、经营场所、法定代表人等登记事项或者终止经营，未在规定期限内向原许可的旅游行政管理部门备案，换领或者交回旅行社业务经营许可证的；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（三）不按照国家有关规定向旅游行政管理部门报送经营和财务信息等统计资料的。</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583"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w:t>
            </w:r>
          </w:p>
        </w:tc>
        <w:tc>
          <w:tcPr>
            <w:tcW w:w="1781" w:type="dxa"/>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设立分社未在规定期限内向分社所在地旅游行政管理部门备案</w:t>
            </w:r>
          </w:p>
        </w:tc>
        <w:tc>
          <w:tcPr>
            <w:tcW w:w="6547" w:type="dxa"/>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第五十条第一、三项：违反本条例的规定，旅行社有下列情形之一的，由旅游行政管理部门责令改正；拒不改正的，处1万元以下的罚款：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（二）设立分社未在规定期限内向分社所在地旅游行政管理部门备案的；</w:t>
            </w:r>
          </w:p>
        </w:tc>
        <w:tc>
          <w:tcPr>
            <w:tcW w:w="2856"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5"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17</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经营出境旅游业务的旅行社组织旅游者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到国务院旅游行政主管部门公布的中国公民出境旅游目的地之外的国家和地区旅游</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18</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未经旅游者同意在旅游合同约定之外提供其他有偿服务</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第五十四条：违反本条例的规定，旅行社未经旅游者同意在旅游合同约定之外提供其他有偿服务的，由旅游行政管理部门责令改正，处1万元以上5万元以下的罚款。</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35"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19</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未与旅游者签订旅游合同等行为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八条：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9"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要求领队人员接待不支付接待和服务费用、支付的费用低于接待和服务成本的旅游团队，或者要求领队人员承担接待旅游团队的相关费用</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3"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21</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向接受委托的旅行社支付接待和服务费用等行为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第六十二条：违反本条例的规定，有下列情形之一的，由旅游行政管理部门责令改正，停业整顿1个月至3个月；情节严重的，吊销旅行社业务经营许可证：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（一）旅行社不向接受委托的旅行社支付接待和服务费用的；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（二）旅行社向接受委托的旅行社支付的费用低于接待和服务成本的；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（三）接受委托的旅行社接待不支付或者不足额支付接待和服务费用的旅游团队的。</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22</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旅行社及其委派的导游人员、领队人员发生</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危及旅游者人身安全的情形，未采取必要的处置措施并及时报告</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三条第（一）项：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（一）发生危及旅游者人身安全的情形，未采取必要的处置措施并及时报告的；</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3" w:hRule="atLeast"/>
          <w:jc w:val="center"/>
        </w:trPr>
        <w:tc>
          <w:tcPr>
            <w:tcW w:w="583"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23</w:t>
            </w:r>
          </w:p>
        </w:tc>
        <w:tc>
          <w:tcPr>
            <w:tcW w:w="1781" w:type="dxa"/>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擅自引进外商投资，或者旅行社及其分社、服务网点未悬挂旅行社业务经营许可证、备案登记证明等行为</w:t>
            </w:r>
          </w:p>
        </w:tc>
        <w:tc>
          <w:tcPr>
            <w:tcW w:w="6547" w:type="dxa"/>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《旅行社条例实施细则》（部门规章，2009年4月2日国家旅游局第4次局长办公会议审议通过，国家旅游局令第30号公布，根据2016年12月12日国家旅游局第42号令修改）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第十二条第三款：外商投资旅行社的，适用《条例》第三章的规定。未经批准，旅行社不得引进外商投资。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设立社向服务网点所在地工商行政管理部门办理服务网点设立登记后，应当在3个工作日内，持下列文件向服务网点所在地与工商登记同级的旅游行政管理部门备案：（一）服务网点的《营业执照》；（二）服务网点经理的履历表和身份证明。</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没有同级的旅游行政管理部门的，向上一级旅游行政管理部门备案。</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第二十六条：旅行社及其分社、服务网点，应当将《旅行社业务经营许可证》、《旅行社分社备案登记证明》或者《旅行社服务网点备案登记证明》，与营业执照一起，悬挂在经营场所的显要位置。</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583"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24</w:t>
            </w:r>
          </w:p>
        </w:tc>
        <w:tc>
          <w:tcPr>
            <w:tcW w:w="1781" w:type="dxa"/>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旅行社设立服务网点</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在规定期限内备案</w:t>
            </w:r>
          </w:p>
        </w:tc>
        <w:tc>
          <w:tcPr>
            <w:tcW w:w="6547" w:type="dxa"/>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2856"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25</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领队</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委托他人代为提供领队服务</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第五十九条：违反本实施细则第三十五条第二款的规定，领队委托他人代为提供领队服务，由县级以上旅游行政管理部门责令改正，可以处1万元以下的罚款。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第三十五条第二款：领队不得委托他人代为提供领队服务。</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6"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26</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旅行社为接待旅游者选择的交通、住宿、餐饮、景区等企业，</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具有接待服务能力</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第三十八条：旅行社招徕、组织、接待旅游者，其选择的交通、住宿、餐饮、景区等企业，应当符合具有合法经营资格和接待服务能力的要求。</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6"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27</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同一旅游团队的旅游者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提出与其他旅游者不同合同事项</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第三十九条第二款：同一旅游团队中，旅行社不得由于下列因素，提出与其他旅游者不同的合同事项：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（一）旅游者拒绝参加旅行社安排的购物活动或者需要旅游者另行付费的旅游项目的；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（二）旅游者存在的年龄或者职业上的差异。但旅行社提供了与其他旅游者相比更多的服务，或者旅游者主动要求的除外。</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71"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28</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将旅游目的地接待旅行社的情况告知旅游者</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1.《旅行社条例实施细则》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第六十二条：违反本实施细则第四十条第二款的规定，旅行社未将旅游目的地接待旅行社的情况告知旅游者的，由县级以上旅游行政管理部门依照《条例》第五十五条的规定处罚。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第四十条第二款：旅行社对接待旅游者的业务作出委托的，应当按照《条例》第三十六条的规定，将旅游目的地接受委托的旅行社的名称、地址、联系人和联系电话，告知旅游者。</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2.《旅行社条例》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旅行社需要对旅游业务作出委托的，应当委托给具有相应资质的旅行社，征得旅游者的同意，并与接受委托的旅行社就接待旅游者的事宜签订委托合同，确定接待旅游者的各项服务安排及其标准，约定双方的权利、义务。</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68"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29</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妥善保存各类旅游合同及相关文件、资料，保存期不够两年，或者泄露旅游者个人信息等行为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第五十条：旅行社应当妥善保存《条例》规定的招徕、组织、接待旅游者的各类合同及相关文件、资料，以备县级以上旅游行政管理部门核查。</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前款所称的合同及文件、资料的保存期，应当不少于两年。</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旅行社不得向其他经营者或者个人，泄露旅游者因签订旅游合同提供的个人信息；超过保存期限的旅游者个人信息资料，应当妥善销毁。</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4"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30</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导游人员进行导游活动时，</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有损害国家利益和民族尊严的言行</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《导游人员管理条例》（行政法规，1999年5月14日国务院令第263号发布，根据2017年10月7日国务院令第687号修订）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26"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31</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导游人员进行导游活动，</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向旅游者兜售物品或者购买旅游者的物品等行为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《导游人员管理条例》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8"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32</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导游在执业过程中</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携带电子导游证、佩戴导游身份标识，未开启导游执业相关应用软件且拒不改正等行为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1.《导游管理办法》（部门规章，2017年10月16日国家旅游局第17次局长办公会议审议通过，国家旅游局令第44号公布，自2018年1月1日起施行）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第三十二条第一款第（二）项：导游违反本办法有关规定的，依照下列规定处理：</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（二）违反本办法第二十条第一款规定的，依据《导游人员管理条例》第二十一条的规定处罚: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第二十条第一款：导游在执业过程中应当携带电子导游证、佩戴导游身份标识，并开启导游执业相关应用软件。</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2.《导游人员管理条例》</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第二十一条：导游人员进行导游活动时未佩戴导游证的，由旅游行政部门责令改正；拒不改正的，处500元以下的罚款。</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00"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33</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导游在执业过程中安</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排旅游者参观或者参与涉及色情、赌博、毒品等违反我国法律法规和社会公徳的项目或者活动</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第三十二条第一款第（四）项：导游违反本办法有关规定的，依照下列规定处理：（四）违反本办法第二十三条第（一）项规定的，依据《旅游法》第一百零一条的规定处罚。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第二十三条第（一）项：导游在执业过程中不得有下列行为：（一）安排旅游者参观或者参与涉及色情、赌博、毒品等违反我国法律法规和社会公德的项目或者活动。</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8"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34</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导游在执业过程中</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擅自变更旅游行程或者拒绝履行旅游合同等行为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第三十二条第一款第（五）项：导游违反本办法有关规定的，依照下列规定处理：（五）违反本办法第二十三条第（二）项规定的，依据《旅游法》第一百条的规定处罚。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第二十三条第（二）项：导游在执业过程中不得有下列行为：（二）擅自变更旅游行程或者拒绝履行旅游合同。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2856" w:type="dxa"/>
            <w:tcBorders/>
            <w:vAlign w:val="center"/>
          </w:tcPr>
          <w:p>
            <w:pPr>
              <w:widowControl/>
              <w:snapToGrid w:val="0"/>
              <w:spacing w:line="0" w:lineRule="atLeast"/>
              <w:jc w:val="both"/>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60"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35</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导游在执业过程中</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擅自安排购物活动或者另行付费旅游项目等行为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第三十二条第一款第（六）项：导游违反本办法有关规定的，依照下列规定处理：（六）违反本办法第二十三条第（三）项至第（六）项规定的，依据《旅游法》第九十八条的规定处罚。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6"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36</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按期报告信息变更情况等行为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一款：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3" w:hRule="atLeast"/>
          <w:jc w:val="center"/>
        </w:trPr>
        <w:tc>
          <w:tcPr>
            <w:tcW w:w="583"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37</w:t>
            </w:r>
          </w:p>
        </w:tc>
        <w:tc>
          <w:tcPr>
            <w:tcW w:w="1781" w:type="dxa"/>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旅行社或者旅游行业组织</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按期报告信息变更情况等行为</w:t>
            </w:r>
          </w:p>
        </w:tc>
        <w:tc>
          <w:tcPr>
            <w:tcW w:w="6547" w:type="dxa"/>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第三十三条第一款第（一）项和第（七）项：违反本办法规定，导游有下列行为的，由县级以上旅游主管部门责令改正，并可以处1000元以下罚款；情节严重的，可以处1000元以上5000元以下罚款：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（一）未按期报告信息变更情况的；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（七）在导游服务星级评价中提供虚假材料的。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第三十三条第二款：旅行社或者旅游行业组织有前款第（一）项和第（七）项规定行为的，依照前款规定处罚。</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583"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38</w:t>
            </w:r>
          </w:p>
        </w:tc>
        <w:tc>
          <w:tcPr>
            <w:tcW w:w="1781" w:type="dxa"/>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导游执业许可申请人</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隐瞒有关情况或者提供虚假材料申请取得导游人员资格证、导游证</w:t>
            </w:r>
          </w:p>
        </w:tc>
        <w:tc>
          <w:tcPr>
            <w:tcW w:w="6547" w:type="dxa"/>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c>
          <w:tcPr>
            <w:tcW w:w="2856"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8"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39</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以欺骗、贿赂等不正当手段取得导游人员资格证、导游证</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第二款：导游以欺骗、贿赂等不正当手段取得导游人员资格证、导游证的，除依法撤销相关证件外，可以由所在地旅游主管部门处1000元以上5000元以下罚款；申请人在三年内不得再次申请导游执业许可。</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3"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涂改、倒卖、出租、出借导游人员资格证、导游证，以其他形式非法转让导游执业许可，或者擅自委托他人代为提供导游服务等行为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导游涂改、倒卖、出租、出借导游人员资格证、导游证，以其他形式非法转让导游执业许可，或者擅自委托他人代为提供导游服务的，由县级以上旅游主管部门责令改正，并可以处2000元以上1万元以下罚款。</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41</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按要求报备领队信息及变更情况，或者备案的领队不具备领队条件且拒不改正</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第二十五条第二款：旅行社应当按要求将本单位具备领队条件的领队信息及变更情况，通过全国旅游监管服务信息系统报旅游主管部门备案。</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42</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旅游行业组织、旅行社为导游证申请人申请取得导游证</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隐瞒有关情况或者提供虚假材料</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第三十六条第二款：旅游行业组织、旅行社为导游证申请人申请取得导游证隐瞒有关情况或者提供虚假材料的，由县级以上旅游主管部门责令改正，并可以处5000元以下罚款。</w:t>
            </w:r>
          </w:p>
        </w:tc>
        <w:tc>
          <w:tcPr>
            <w:tcW w:w="2856"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43</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组团社入境旅游业绩下降等行为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《中国公民出国旅游管理办法》（行政法规，2022年5月27日国务院令第354号公布，根据2017年3月1日国务院令第676号修订）</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w:t>
            </w:r>
          </w:p>
        </w:tc>
        <w:tc>
          <w:tcPr>
            <w:tcW w:w="2856" w:type="dxa"/>
            <w:vMerge w:val="continue"/>
            <w:tcBorders/>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3" w:hRule="atLeast"/>
          <w:jc w:val="center"/>
        </w:trPr>
        <w:tc>
          <w:tcPr>
            <w:tcW w:w="583" w:type="dxa"/>
            <w:vMerge w:val="continue"/>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781" w:type="dxa"/>
            <w:vMerge w:val="continue"/>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547" w:type="dxa"/>
            <w:vMerge w:val="continue"/>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2"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44</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组团社或者旅游团队领队</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对可能危及人身安全的情况未向旅游者作出真实说明和明确警示，或者未采取防止危害发生的措施等行为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《中国公民出国旅游管理办法》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第十四条第二款：组团社应当保证所提供的服务符合保障旅游者人身、财产安全的要求；对可能危及旅游者人身安全的情况，应当向旅游者作出真实说明和明确警示，并采取有效措施，防止危害的发生。</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第十八条：旅游团队领队在带领旅游者旅行、游览过程中，应当就可能危及旅游者人身安全的情况，向旅游者作出真实说明和明确警示，并按照组团社的要求采取有效措施，防止危害的发生。</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12"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45</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组团社或者旅游团队领队</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要求境外接待社不得擅自改变行程、减少旅游项目、强迫或者变相强迫旅游者参加额外付费项目，或者在境外接待社违反前述要求时未制止</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《中国公民出国旅游管理办法》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境外接待社违反组团社及其旅游团队领队根据前款规定提出的要求时，组团社及其旅游团队领队应当予以制止。</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46</w:t>
            </w:r>
          </w:p>
        </w:tc>
        <w:tc>
          <w:tcPr>
            <w:tcW w:w="1781" w:type="dxa"/>
            <w:vMerge w:val="restart"/>
            <w:vAlign w:val="center"/>
          </w:tcPr>
          <w:p>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旅游团队领队与境外接待社、导游及为旅游者提供商品或者服务的其他经营者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串通欺骗、胁迫旅游者消费或者向境外接待社</w:t>
            </w:r>
          </w:p>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、导游和其他为旅游者提供商品或者服务的经营者索要回扣、提成或者收受其财物等行为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《中国公民出国旅游管理办法》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3"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47</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制止履行辅助人的非法、不安全服务行为，或者未更换履行辅助人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《旅游安全管理办法》（部门规章，2016年9月7日国家旅游局第11次局长办公会议审议通过，国家旅游局令第41号公布，自2016年12月1日起施行）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旅行社违反本办法第十一条第二款的规定，未制止履行辅助人的非法、不安全服务行为，或者未更换履行辅助人的，由旅游主管部门给予警告，可并处2000元以下罚款；情节严重的，处2000元以上10000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第十一条第二款：旅行社及其从业人员发现履行辅助人提供的服务不符合法律、法规规定或者存在安全隐患的，应当予以制止或者更换。</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6"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48</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按要求制作安全信息卡、未将安全信息卡交由旅游者，或者未吿知旅游者相关信息等行为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《旅游安全管理办法》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第十二条：旅行社组织出境旅游，应当制作安全信息卡。</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安全信息卡应当包括旅游者姓名、出境证件号码和国籍，以及紧急情况下的联系人、联系方式等信息，使用中文和目的地官方语言（或者英文）填写。</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旅行社应当将安全信息卡交由旅游者随身携带，并告知其自行填写血型、过敏药物和重大疾病等信息。</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68"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49</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根据风险级别釆取相应措施</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《旅游安全管理办法》</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第三十六条：旅行社违反本办法第十八条规定，不采取相应措施的，由旅游主管部门处2000元以下罚款；情节严重的，处2000元以上10000元以下罚款。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撤离。</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其他旅游经营者应当根据风险提示的级别，加强对旅游者的风险提示，采取相应的安全防范措施，妥善安置旅游者，并根据政府或者有关部门的要求，暂停或者关闭易受风险危害的旅游项目或者场所。</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50</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是否被</w:t>
            </w:r>
            <w:r>
              <w:rPr>
                <w:rFonts w:hint="eastAsia" w:ascii="宋体" w:hAnsi="宋体" w:eastAsia="宋体" w:cs="宋体"/>
                <w:color w:val="000000" w:themeColor="text1"/>
                <w:kern w:val="0"/>
                <w:sz w:val="16"/>
                <w:szCs w:val="16"/>
                <w14:textFill>
                  <w14:solidFill>
                    <w14:schemeClr w14:val="tx1"/>
                  </w14:solidFill>
                </w14:textFill>
              </w:rPr>
              <w:t>指定经营大陆居民赴台旅游业务，或者旅行社及从业人员</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违反《大陆居民赴台湾地区旅游管理办法》规定</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1.《大陆居民赴台湾地区旅游管理办法》（部门规章，2006年4月16日发布，自公布之日起施行，2017年4月13日第二次修改）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违反本办法规定，未被指定经营大陆居民赴台旅游业务，或者旅行社及从业人员有违反本办法规定行为的，由旅游主管部门根据《旅游法》和《旅行社条例》等规定予以处罚。有关单位和个人违反其他法律、法规规定的，由有关部门依法予以处理。</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2.《中华人民共和国旅游法》（法律，2018年10月26日第二次修正）</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第二十九条第一款第二项、第三项：旅行社可以经营下列业务：（二）出境旅游；（三）边境旅游。</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51"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51</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在线旅游经营者发现法律、行政法规禁止发布或者传输的信息，</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立即停止传输该信息、采取消除等处置措施防止信息扩散、保存有关记录</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1.《在线旅游经营服务管理暂行规定》（部门规章，2020年7月20日文化和旅游部部务会议审议通过，2020年8月20日发布，自2020年10月1日起施行）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第三十一条：在线旅游经营者违反本规定第八条第一款规定，由县级以上文化和旅游主管部门依照《中华人民共和国网络安全法》第六十八条有关规定处理。</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第八条第一款：在线旅游经营者发现法律、行政法规禁止发布或者传输的信息，应当立即停止传输该信息，采取消除等处置措施防止信息扩散，保存有关记录并向主管部门报告。</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2.《中华人民共和国网络安全法》（法律，中华人民共和国第十二届全国人民代表大会常务委员会第二十四次会议于2016年11月7日通过，自2017年6月1日起施行）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04" w:hRule="atLeas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52</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平台经营者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依法履行核验、登记义务等行为</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1.《在线旅游经营服务管理暂行规定》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平台经营者有下列情形之一的，由县级以上文化和旅游主管部门依照《中华人民共和国电子商务法》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第十一条第一款：平台经营者应当对平台内经营者的身份、地址、联系方式、行政许可、质量标准等级、信用等级等信息进行真实性核验、登记，建立登记档案，并定期核验更新。</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第十九条：平台经营者应当对平台内经营者服务情况、旅游合同履行情况以及投诉处理情况等产品和服务信息、交易信息依法进行记录、保存，进行动态管理。</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平台经营者发现以下情况，应当立即采取必要的救助和处置措施，并依法及时向县级以上文化和旅游主管部门报告：（一）提供的旅游产品或者服务存在缺陷，危及旅游者人身、财产安全的；（二）经营服务过程中发生突发事件或者旅游安全事故的；（三）平台内经营者未经许可经营旅行社业务的;（四）出现法律、法规禁止交易的产品或者服务的；（五）其他应当报告的事项。</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2.《中华人民共和国电子商务法》（法律，中华人民共和国第十三届全国人民代表大会常务委员会第五次会议于2018年8月31日通过，自2019年1月1日起施行）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w:t>
            </w:r>
            <w:r>
              <w:rPr>
                <w:rFonts w:hint="eastAsia" w:ascii="宋体" w:hAnsi="宋体" w:eastAsia="宋体" w:cs="宋体"/>
                <w:color w:val="000000" w:themeColor="text1"/>
                <w:kern w:val="0"/>
                <w:sz w:val="16"/>
                <w:szCs w:val="16"/>
                <w:lang w:val="en-US" w:eastAsia="zh-CN"/>
                <w14:textFill>
                  <w14:solidFill>
                    <w14:schemeClr w14:val="tx1"/>
                  </w14:solidFill>
                </w14:textFill>
              </w:rPr>
              <w:t>的行政处罚</w:t>
            </w:r>
            <w:r>
              <w:rPr>
                <w:rFonts w:hint="eastAsia" w:ascii="宋体" w:hAnsi="宋体" w:eastAsia="宋体" w:cs="宋体"/>
                <w:color w:val="000000" w:themeColor="text1"/>
                <w:kern w:val="0"/>
                <w:sz w:val="16"/>
                <w:szCs w:val="16"/>
                <w14:textFill>
                  <w14:solidFill>
                    <w14:schemeClr w14:val="tx1"/>
                  </w14:solidFill>
                </w14:textFill>
              </w:rPr>
              <w:t>另有规定的，依照其规定。</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1" w:hRule="exac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53</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取得质量标准、信用等级使用相关称谓和标识</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《在线旅游经营服务管理暂行规定》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第三十四条：在线旅游经营者违反本规定第十二条第一款有关规定，未取得质量标准、信用等级使用相关称谓和标识的，由县级以上文化和旅游主管部门责令改正，给予警告，可并处三万元以下罚款。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第一款：在线旅游经营者应当提供真实、准确的旅游服务信息，不得进行虚假宣传；未取得质量标准、信用等级的，不得使用相关称谓和标识。平台经营者应当以显著方式区分标记自营业务和平台内经营者开展的业务。</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8" w:hRule="exac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54</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在全国旅游监管服务平台填报包价旅游合同有关信息</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《在线旅游经营服务管理暂行规定》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第三十五条：违反本规定第十六条规定，未在全国旅游监管服务平台填报包价旅游合同有关信息的，由县级以上文化和旅游主管部门责令改正，给予警告；拒不改正的，处一万元以下罚款。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第十六条：在线旅游经营者为旅游者提供包价旅游服务的，应当依法与旅游者签订合同，并在全国旅游监管服务平台填报合同有关信息。</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1" w:hRule="exact"/>
          <w:jc w:val="center"/>
        </w:trPr>
        <w:tc>
          <w:tcPr>
            <w:tcW w:w="583" w:type="dxa"/>
            <w:vMerge w:val="restart"/>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55</w:t>
            </w:r>
          </w:p>
        </w:tc>
        <w:tc>
          <w:tcPr>
            <w:tcW w:w="1781" w:type="dxa"/>
            <w:vMerge w:val="restart"/>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在线旅游经营者为</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以不合理低价组织的旅游活动提供交易机会</w:t>
            </w:r>
          </w:p>
        </w:tc>
        <w:tc>
          <w:tcPr>
            <w:tcW w:w="6547" w:type="dxa"/>
            <w:vMerge w:val="restart"/>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《在线旅游经营服务管理暂行规定》</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第三十六条：在线旅游经营者违反本规定第十八条规定，为以不合理低价组织的旅游活动提供交易机会的，由县级以上文化和旅游主管部门责令改正，给予警告，可并处三万元以下罚款。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第十八条：在线旅游经营者应当协助文化和旅游主管部门对不合理低价游进行管理，不得为其提供交易机会。</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1" w:hRule="exact"/>
          <w:jc w:val="center"/>
        </w:trPr>
        <w:tc>
          <w:tcPr>
            <w:tcW w:w="583" w:type="dxa"/>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56</w:t>
            </w:r>
          </w:p>
        </w:tc>
        <w:tc>
          <w:tcPr>
            <w:tcW w:w="1781" w:type="dxa"/>
            <w:vAlign w:val="center"/>
          </w:tcPr>
          <w:p>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旅游经营者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按照规定制作和保存业务档案</w:t>
            </w:r>
          </w:p>
        </w:tc>
        <w:tc>
          <w:tcPr>
            <w:tcW w:w="6547" w:type="dxa"/>
            <w:vAlign w:val="center"/>
          </w:tcPr>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《福建省旅游条例》（地方性法规，2016年9月1日施行）</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三条：违反本条例第四十二条规定，旅游经营者未按照规定制作和保存业务档案，或者未按照规定报送经营和财务等信息统计资料的，由县级以上地方人民政府旅游主管部门责令限期改正；逾期未改正的，处二千元以上一万元以下罚款。</w:t>
            </w:r>
          </w:p>
          <w:p>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第四十二条：旅游经营者应当按照国家有关规定制作和保存完整的业务档案，并向县级以上地方人民政府旅游主管部门报送经营和财务等信息统计资料。</w:t>
            </w:r>
          </w:p>
        </w:tc>
        <w:tc>
          <w:tcPr>
            <w:tcW w:w="2856" w:type="dxa"/>
            <w:tcBorders/>
            <w:vAlign w:val="center"/>
          </w:tcPr>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bl>
    <w:p>
      <w:pPr>
        <w:rPr>
          <w:color w:val="000000" w:themeColor="text1"/>
          <w14:textFill>
            <w14:solidFill>
              <w14:schemeClr w14:val="tx1"/>
            </w14:solidFill>
          </w14:textFill>
        </w:rPr>
        <w:sectPr>
          <w:footerReference r:id="rId3" w:type="default"/>
          <w:pgSz w:w="16838" w:h="11906" w:orient="landscape"/>
          <w:pgMar w:top="1576" w:right="1440" w:bottom="1179" w:left="1440" w:header="851" w:footer="612" w:gutter="0"/>
          <w:cols w:space="0" w:num="1"/>
          <w:docGrid w:type="lines" w:linePitch="312" w:charSpace="0"/>
        </w:sectPr>
      </w:pPr>
    </w:p>
    <w:p>
      <w:pPr>
        <w:ind w:firstLine="420" w:firstLineChars="200"/>
        <w:rPr>
          <w:color w:val="000000" w:themeColor="text1"/>
          <w14:textFill>
            <w14:solidFill>
              <w14:schemeClr w14:val="tx1"/>
            </w14:solidFill>
          </w14:textFill>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MS Gothic">
    <w:altName w:val="方正书宋_GBK"/>
    <w:panose1 w:val="020B0609070205080204"/>
    <w:charset w:val="80"/>
    <w:family w:val="modern"/>
    <w:pitch w:val="default"/>
    <w:sig w:usb0="00000000" w:usb1="00000000" w:usb2="08000012" w:usb3="00000000" w:csb0="4002009F" w:csb1="DFD7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7000054"/>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28202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4M2IzYmRhNWVmY2FlYTUwYzU2ZDcwYTRlYTc4ZGUifQ=="/>
  </w:docVars>
  <w:rsids>
    <w:rsidRoot w:val="009D215B"/>
    <w:rsid w:val="00020131"/>
    <w:rsid w:val="0002194E"/>
    <w:rsid w:val="000349D0"/>
    <w:rsid w:val="0004258D"/>
    <w:rsid w:val="000514B8"/>
    <w:rsid w:val="000571ED"/>
    <w:rsid w:val="0006070D"/>
    <w:rsid w:val="00066EF7"/>
    <w:rsid w:val="000674DC"/>
    <w:rsid w:val="00070831"/>
    <w:rsid w:val="00082124"/>
    <w:rsid w:val="00093DC7"/>
    <w:rsid w:val="0009709A"/>
    <w:rsid w:val="000C3775"/>
    <w:rsid w:val="000D0DED"/>
    <w:rsid w:val="000E75EE"/>
    <w:rsid w:val="00113877"/>
    <w:rsid w:val="00116E83"/>
    <w:rsid w:val="00126CD2"/>
    <w:rsid w:val="00126E04"/>
    <w:rsid w:val="00144A9B"/>
    <w:rsid w:val="001471B2"/>
    <w:rsid w:val="00151B75"/>
    <w:rsid w:val="00155E8B"/>
    <w:rsid w:val="001613D5"/>
    <w:rsid w:val="00162654"/>
    <w:rsid w:val="00167940"/>
    <w:rsid w:val="001744B4"/>
    <w:rsid w:val="001746D0"/>
    <w:rsid w:val="00175718"/>
    <w:rsid w:val="0018266A"/>
    <w:rsid w:val="001A295F"/>
    <w:rsid w:val="001A605B"/>
    <w:rsid w:val="001E050C"/>
    <w:rsid w:val="001E1BD1"/>
    <w:rsid w:val="0021227F"/>
    <w:rsid w:val="00212C10"/>
    <w:rsid w:val="00224115"/>
    <w:rsid w:val="00225F6F"/>
    <w:rsid w:val="002344E1"/>
    <w:rsid w:val="00236A07"/>
    <w:rsid w:val="00280462"/>
    <w:rsid w:val="002B27B7"/>
    <w:rsid w:val="002C01F7"/>
    <w:rsid w:val="002C187F"/>
    <w:rsid w:val="002D03A9"/>
    <w:rsid w:val="002D2C2F"/>
    <w:rsid w:val="002E3C56"/>
    <w:rsid w:val="002F3F14"/>
    <w:rsid w:val="00325BB8"/>
    <w:rsid w:val="0034181E"/>
    <w:rsid w:val="00354A91"/>
    <w:rsid w:val="003666BB"/>
    <w:rsid w:val="003706FE"/>
    <w:rsid w:val="003A531A"/>
    <w:rsid w:val="003B04AF"/>
    <w:rsid w:val="003B341F"/>
    <w:rsid w:val="003B4436"/>
    <w:rsid w:val="003C16FB"/>
    <w:rsid w:val="003D41B4"/>
    <w:rsid w:val="003E78AE"/>
    <w:rsid w:val="003F7E8C"/>
    <w:rsid w:val="00401BC7"/>
    <w:rsid w:val="004525FC"/>
    <w:rsid w:val="0045346C"/>
    <w:rsid w:val="00457BC2"/>
    <w:rsid w:val="00474D6D"/>
    <w:rsid w:val="00492B28"/>
    <w:rsid w:val="004A14B3"/>
    <w:rsid w:val="004A1962"/>
    <w:rsid w:val="004A33B2"/>
    <w:rsid w:val="004A790C"/>
    <w:rsid w:val="004B5ED3"/>
    <w:rsid w:val="004C1FD7"/>
    <w:rsid w:val="004D21F8"/>
    <w:rsid w:val="004E6A13"/>
    <w:rsid w:val="004F3519"/>
    <w:rsid w:val="00505073"/>
    <w:rsid w:val="0051402C"/>
    <w:rsid w:val="00544843"/>
    <w:rsid w:val="00546167"/>
    <w:rsid w:val="00555FB7"/>
    <w:rsid w:val="00560F6C"/>
    <w:rsid w:val="0058391D"/>
    <w:rsid w:val="00583C03"/>
    <w:rsid w:val="005971F6"/>
    <w:rsid w:val="005B275E"/>
    <w:rsid w:val="005E0375"/>
    <w:rsid w:val="0060467E"/>
    <w:rsid w:val="00606280"/>
    <w:rsid w:val="006341EC"/>
    <w:rsid w:val="00647778"/>
    <w:rsid w:val="0066222A"/>
    <w:rsid w:val="00687A0D"/>
    <w:rsid w:val="00691ED4"/>
    <w:rsid w:val="006A184D"/>
    <w:rsid w:val="006A4687"/>
    <w:rsid w:val="006C41AA"/>
    <w:rsid w:val="006C6061"/>
    <w:rsid w:val="006D018C"/>
    <w:rsid w:val="006E6810"/>
    <w:rsid w:val="00703BAF"/>
    <w:rsid w:val="007116AA"/>
    <w:rsid w:val="00716611"/>
    <w:rsid w:val="00726CD8"/>
    <w:rsid w:val="007503D9"/>
    <w:rsid w:val="00767E05"/>
    <w:rsid w:val="00777854"/>
    <w:rsid w:val="0078185C"/>
    <w:rsid w:val="0078401C"/>
    <w:rsid w:val="00785FA3"/>
    <w:rsid w:val="00793998"/>
    <w:rsid w:val="007A59C7"/>
    <w:rsid w:val="007B2CAC"/>
    <w:rsid w:val="007B43B7"/>
    <w:rsid w:val="007B6E72"/>
    <w:rsid w:val="007C57DF"/>
    <w:rsid w:val="007E43C2"/>
    <w:rsid w:val="007F0990"/>
    <w:rsid w:val="007F09A3"/>
    <w:rsid w:val="007F3375"/>
    <w:rsid w:val="00805A69"/>
    <w:rsid w:val="00816163"/>
    <w:rsid w:val="00825431"/>
    <w:rsid w:val="00842155"/>
    <w:rsid w:val="00843410"/>
    <w:rsid w:val="008610C6"/>
    <w:rsid w:val="008629B3"/>
    <w:rsid w:val="0086751D"/>
    <w:rsid w:val="008A7AED"/>
    <w:rsid w:val="008B0E9E"/>
    <w:rsid w:val="00916FA1"/>
    <w:rsid w:val="009538C1"/>
    <w:rsid w:val="00954541"/>
    <w:rsid w:val="0095474B"/>
    <w:rsid w:val="00970759"/>
    <w:rsid w:val="00971DDA"/>
    <w:rsid w:val="009770E5"/>
    <w:rsid w:val="00980DD4"/>
    <w:rsid w:val="009A0BF3"/>
    <w:rsid w:val="009A2741"/>
    <w:rsid w:val="009B0C79"/>
    <w:rsid w:val="009B71EF"/>
    <w:rsid w:val="009D215B"/>
    <w:rsid w:val="009D36FD"/>
    <w:rsid w:val="009D3A93"/>
    <w:rsid w:val="009E3FF5"/>
    <w:rsid w:val="00A01AA0"/>
    <w:rsid w:val="00A01B83"/>
    <w:rsid w:val="00A02F64"/>
    <w:rsid w:val="00A0674D"/>
    <w:rsid w:val="00A10412"/>
    <w:rsid w:val="00A15488"/>
    <w:rsid w:val="00A26706"/>
    <w:rsid w:val="00A42F34"/>
    <w:rsid w:val="00A51BDC"/>
    <w:rsid w:val="00A63884"/>
    <w:rsid w:val="00A75F62"/>
    <w:rsid w:val="00AB4A8E"/>
    <w:rsid w:val="00AB7DBF"/>
    <w:rsid w:val="00AC47A0"/>
    <w:rsid w:val="00AD28E8"/>
    <w:rsid w:val="00AE517E"/>
    <w:rsid w:val="00AF1BA9"/>
    <w:rsid w:val="00AF6C90"/>
    <w:rsid w:val="00B058B5"/>
    <w:rsid w:val="00B16AE4"/>
    <w:rsid w:val="00B23F46"/>
    <w:rsid w:val="00B2691A"/>
    <w:rsid w:val="00B32E20"/>
    <w:rsid w:val="00B60C38"/>
    <w:rsid w:val="00B75926"/>
    <w:rsid w:val="00B81001"/>
    <w:rsid w:val="00BA2BA3"/>
    <w:rsid w:val="00BB64F8"/>
    <w:rsid w:val="00BF382D"/>
    <w:rsid w:val="00BF7B72"/>
    <w:rsid w:val="00C04D90"/>
    <w:rsid w:val="00C1022D"/>
    <w:rsid w:val="00C148BC"/>
    <w:rsid w:val="00C14E50"/>
    <w:rsid w:val="00C241B3"/>
    <w:rsid w:val="00C31DC6"/>
    <w:rsid w:val="00C364F5"/>
    <w:rsid w:val="00C47676"/>
    <w:rsid w:val="00C71F7D"/>
    <w:rsid w:val="00CA3DF8"/>
    <w:rsid w:val="00CC16AA"/>
    <w:rsid w:val="00CC555D"/>
    <w:rsid w:val="00CD3687"/>
    <w:rsid w:val="00CD37AD"/>
    <w:rsid w:val="00CF1838"/>
    <w:rsid w:val="00CF3BF2"/>
    <w:rsid w:val="00D066FC"/>
    <w:rsid w:val="00D27BF5"/>
    <w:rsid w:val="00D504D7"/>
    <w:rsid w:val="00D55145"/>
    <w:rsid w:val="00D57CB6"/>
    <w:rsid w:val="00D8498D"/>
    <w:rsid w:val="00D90726"/>
    <w:rsid w:val="00DE04B3"/>
    <w:rsid w:val="00DE1374"/>
    <w:rsid w:val="00E04B57"/>
    <w:rsid w:val="00E14F7A"/>
    <w:rsid w:val="00E17490"/>
    <w:rsid w:val="00E232E4"/>
    <w:rsid w:val="00E242A9"/>
    <w:rsid w:val="00E26460"/>
    <w:rsid w:val="00E264DC"/>
    <w:rsid w:val="00E32792"/>
    <w:rsid w:val="00E609E9"/>
    <w:rsid w:val="00E65B4F"/>
    <w:rsid w:val="00E72B9C"/>
    <w:rsid w:val="00E976B7"/>
    <w:rsid w:val="00EC3891"/>
    <w:rsid w:val="00ED7102"/>
    <w:rsid w:val="00F11BDB"/>
    <w:rsid w:val="00F20DFF"/>
    <w:rsid w:val="00F2207C"/>
    <w:rsid w:val="00F240B2"/>
    <w:rsid w:val="00F54B62"/>
    <w:rsid w:val="00F61150"/>
    <w:rsid w:val="00F64BC4"/>
    <w:rsid w:val="00F76BC4"/>
    <w:rsid w:val="00F92EC4"/>
    <w:rsid w:val="00FA7639"/>
    <w:rsid w:val="00FC763D"/>
    <w:rsid w:val="00FD257A"/>
    <w:rsid w:val="00FE1DC6"/>
    <w:rsid w:val="00FE2F9A"/>
    <w:rsid w:val="00FE33DC"/>
    <w:rsid w:val="00FE5E38"/>
    <w:rsid w:val="04471852"/>
    <w:rsid w:val="05C56ED2"/>
    <w:rsid w:val="0A61246E"/>
    <w:rsid w:val="0B0B35D9"/>
    <w:rsid w:val="0BB35A1E"/>
    <w:rsid w:val="0D442DD2"/>
    <w:rsid w:val="0F024CF3"/>
    <w:rsid w:val="10D73F5D"/>
    <w:rsid w:val="15B7B9A2"/>
    <w:rsid w:val="1AA12CAD"/>
    <w:rsid w:val="1BE74CC6"/>
    <w:rsid w:val="241430A6"/>
    <w:rsid w:val="24B403E6"/>
    <w:rsid w:val="271433BD"/>
    <w:rsid w:val="2C730B86"/>
    <w:rsid w:val="31BC6B2B"/>
    <w:rsid w:val="35BA15D4"/>
    <w:rsid w:val="3B7160B6"/>
    <w:rsid w:val="3BCBA1D0"/>
    <w:rsid w:val="45F3477A"/>
    <w:rsid w:val="47F41D83"/>
    <w:rsid w:val="4A6C6539"/>
    <w:rsid w:val="4D3B0DF4"/>
    <w:rsid w:val="4DF01BDF"/>
    <w:rsid w:val="4F3B50DC"/>
    <w:rsid w:val="4FCDD782"/>
    <w:rsid w:val="51FF3BFE"/>
    <w:rsid w:val="5A77DC76"/>
    <w:rsid w:val="5C433822"/>
    <w:rsid w:val="5DD706C5"/>
    <w:rsid w:val="5EF7A653"/>
    <w:rsid w:val="5F2BBF8D"/>
    <w:rsid w:val="5F7F3B91"/>
    <w:rsid w:val="5F9E9E91"/>
    <w:rsid w:val="5FC53002"/>
    <w:rsid w:val="5FFBA0D4"/>
    <w:rsid w:val="64C01EB3"/>
    <w:rsid w:val="64F8164D"/>
    <w:rsid w:val="677BC592"/>
    <w:rsid w:val="69083E29"/>
    <w:rsid w:val="6D9F5A63"/>
    <w:rsid w:val="6F74B261"/>
    <w:rsid w:val="6F77663C"/>
    <w:rsid w:val="75FE1493"/>
    <w:rsid w:val="77BFD040"/>
    <w:rsid w:val="787DCA9E"/>
    <w:rsid w:val="7D7D673C"/>
    <w:rsid w:val="7E9640E7"/>
    <w:rsid w:val="7EEFD176"/>
    <w:rsid w:val="7FAFAD77"/>
    <w:rsid w:val="7FB11DCB"/>
    <w:rsid w:val="7FFD8FBD"/>
    <w:rsid w:val="7FFDBCE4"/>
    <w:rsid w:val="7FFEB05F"/>
    <w:rsid w:val="7FFF9ED1"/>
    <w:rsid w:val="9FFFBBFC"/>
    <w:rsid w:val="ABFD8219"/>
    <w:rsid w:val="AFCEF89F"/>
    <w:rsid w:val="B43F214C"/>
    <w:rsid w:val="B7AED992"/>
    <w:rsid w:val="BB6EEB07"/>
    <w:rsid w:val="BBF8CAD8"/>
    <w:rsid w:val="BD7DDE72"/>
    <w:rsid w:val="BDDC2F57"/>
    <w:rsid w:val="BF9D14B9"/>
    <w:rsid w:val="BFC252EF"/>
    <w:rsid w:val="BFCB934E"/>
    <w:rsid w:val="C76FEBAF"/>
    <w:rsid w:val="CE7907E8"/>
    <w:rsid w:val="D4FBF616"/>
    <w:rsid w:val="D7F35C50"/>
    <w:rsid w:val="DAFFF9D6"/>
    <w:rsid w:val="DBFF465B"/>
    <w:rsid w:val="DF5FF7B2"/>
    <w:rsid w:val="DFFB4EDE"/>
    <w:rsid w:val="DFFB64CE"/>
    <w:rsid w:val="E65FD93D"/>
    <w:rsid w:val="E97623DB"/>
    <w:rsid w:val="EBBFC74C"/>
    <w:rsid w:val="EE3E9610"/>
    <w:rsid w:val="EF7337A0"/>
    <w:rsid w:val="EFDC47F4"/>
    <w:rsid w:val="EFDC5BED"/>
    <w:rsid w:val="F2F9CE8C"/>
    <w:rsid w:val="F5DF0C0D"/>
    <w:rsid w:val="F6CF46B6"/>
    <w:rsid w:val="F6D7272D"/>
    <w:rsid w:val="F7E081E2"/>
    <w:rsid w:val="FBEF81FF"/>
    <w:rsid w:val="FCB77826"/>
    <w:rsid w:val="FDCB0018"/>
    <w:rsid w:val="FFACDD43"/>
    <w:rsid w:val="FFB3B50D"/>
    <w:rsid w:val="FFEBC27C"/>
    <w:rsid w:val="FFEF7473"/>
    <w:rsid w:val="FFF71A40"/>
    <w:rsid w:val="FFFA7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7"/>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69"/>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66"/>
    <w:unhideWhenUsed/>
    <w:qFormat/>
    <w:uiPriority w:val="99"/>
    <w:pP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页脚 字符"/>
    <w:basedOn w:val="7"/>
    <w:link w:val="4"/>
    <w:qFormat/>
    <w:uiPriority w:val="99"/>
    <w:rPr>
      <w:sz w:val="18"/>
      <w:szCs w:val="18"/>
    </w:rPr>
  </w:style>
  <w:style w:type="paragraph" w:customStyle="1" w:styleId="1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6"/>
      <w:szCs w:val="16"/>
    </w:rPr>
  </w:style>
  <w:style w:type="paragraph" w:customStyle="1" w:styleId="13">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font7"/>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5">
    <w:name w:val="font8"/>
    <w:basedOn w:val="1"/>
    <w:qFormat/>
    <w:uiPriority w:val="0"/>
    <w:pPr>
      <w:widowControl/>
      <w:spacing w:before="100" w:beforeAutospacing="1" w:after="100" w:afterAutospacing="1"/>
      <w:jc w:val="left"/>
    </w:pPr>
    <w:rPr>
      <w:rFonts w:ascii="Calibri" w:hAnsi="Calibri" w:eastAsia="宋体" w:cs="Calibri"/>
      <w:color w:val="000000"/>
      <w:kern w:val="0"/>
      <w:sz w:val="16"/>
      <w:szCs w:val="16"/>
    </w:rPr>
  </w:style>
  <w:style w:type="paragraph" w:customStyle="1" w:styleId="16">
    <w:name w:val="font9"/>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7">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6"/>
      <w:szCs w:val="16"/>
    </w:rPr>
  </w:style>
  <w:style w:type="paragraph" w:customStyle="1" w:styleId="20">
    <w:name w:val="xl69"/>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1">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3">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24">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5">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8">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9">
    <w:name w:val="xl7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30">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31">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32">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4">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6">
    <w:name w:val="xl85"/>
    <w:basedOn w:val="1"/>
    <w:qFormat/>
    <w:uiPriority w:val="0"/>
    <w:pPr>
      <w:widowControl/>
      <w:pBdr>
        <w:left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38">
    <w:name w:val="xl87"/>
    <w:basedOn w:val="1"/>
    <w:qFormat/>
    <w:uiPriority w:val="0"/>
    <w:pPr>
      <w:widowControl/>
      <w:pBdr>
        <w:top w:val="single" w:color="auto" w:sz="4" w:space="0"/>
        <w:lef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9">
    <w:name w:val="xl88"/>
    <w:basedOn w:val="1"/>
    <w:qFormat/>
    <w:uiPriority w:val="0"/>
    <w:pPr>
      <w:widowControl/>
      <w:pBdr>
        <w:top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0">
    <w:name w:val="xl89"/>
    <w:basedOn w:val="1"/>
    <w:qFormat/>
    <w:uiPriority w:val="0"/>
    <w:pPr>
      <w:widowControl/>
      <w:pBdr>
        <w:lef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1">
    <w:name w:val="xl90"/>
    <w:basedOn w:val="1"/>
    <w:qFormat/>
    <w:uiPriority w:val="0"/>
    <w:pPr>
      <w:widowControl/>
      <w:pBdr>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2">
    <w:name w:val="xl91"/>
    <w:basedOn w:val="1"/>
    <w:qFormat/>
    <w:uiPriority w:val="0"/>
    <w:pPr>
      <w:widowControl/>
      <w:pBdr>
        <w:left w:val="single" w:color="auto" w:sz="4" w:space="0"/>
        <w:bottom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3">
    <w:name w:val="xl92"/>
    <w:basedOn w:val="1"/>
    <w:qFormat/>
    <w:uiPriority w:val="0"/>
    <w:pPr>
      <w:widowControl/>
      <w:pBdr>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4">
    <w:name w:val="xl93"/>
    <w:basedOn w:val="1"/>
    <w:qFormat/>
    <w:uiPriority w:val="0"/>
    <w:pPr>
      <w:widowControl/>
      <w:pBdr>
        <w:left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45">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4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color w:val="000000"/>
      <w:kern w:val="0"/>
      <w:sz w:val="16"/>
      <w:szCs w:val="16"/>
    </w:rPr>
  </w:style>
  <w:style w:type="paragraph" w:customStyle="1" w:styleId="4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Calibri"/>
      <w:color w:val="000000"/>
      <w:kern w:val="0"/>
      <w:sz w:val="16"/>
      <w:szCs w:val="16"/>
    </w:rPr>
  </w:style>
  <w:style w:type="paragraph" w:customStyle="1" w:styleId="48">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49">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50">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5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5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5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5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5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5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58">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eastAsia="宋体" w:cs="宋体"/>
      <w:kern w:val="0"/>
      <w:sz w:val="16"/>
      <w:szCs w:val="16"/>
    </w:rPr>
  </w:style>
  <w:style w:type="paragraph" w:customStyle="1" w:styleId="59">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60">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61">
    <w:name w:val="xl11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62">
    <w:name w:val="xl111"/>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63">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64">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65">
    <w:name w:val="xl114"/>
    <w:basedOn w:val="1"/>
    <w:qFormat/>
    <w:uiPriority w:val="0"/>
    <w:pPr>
      <w:widowControl/>
      <w:spacing w:before="100" w:beforeAutospacing="1" w:after="100" w:afterAutospacing="1"/>
    </w:pPr>
    <w:rPr>
      <w:rFonts w:ascii="宋体" w:hAnsi="宋体" w:eastAsia="宋体" w:cs="宋体"/>
      <w:kern w:val="0"/>
      <w:sz w:val="16"/>
      <w:szCs w:val="16"/>
    </w:rPr>
  </w:style>
  <w:style w:type="character" w:customStyle="1" w:styleId="66">
    <w:name w:val="页眉 字符"/>
    <w:basedOn w:val="7"/>
    <w:link w:val="5"/>
    <w:qFormat/>
    <w:uiPriority w:val="99"/>
    <w:rPr>
      <w:sz w:val="18"/>
      <w:szCs w:val="18"/>
    </w:rPr>
  </w:style>
  <w:style w:type="character" w:customStyle="1" w:styleId="67">
    <w:name w:val="标题 1 字符"/>
    <w:basedOn w:val="7"/>
    <w:link w:val="2"/>
    <w:qFormat/>
    <w:uiPriority w:val="9"/>
    <w:rPr>
      <w:b/>
      <w:bCs/>
      <w:kern w:val="44"/>
      <w:sz w:val="44"/>
      <w:szCs w:val="44"/>
    </w:rPr>
  </w:style>
  <w:style w:type="paragraph" w:styleId="68">
    <w:name w:val="List Paragraph"/>
    <w:basedOn w:val="1"/>
    <w:qFormat/>
    <w:uiPriority w:val="34"/>
    <w:pPr>
      <w:ind w:firstLine="420" w:firstLineChars="200"/>
    </w:pPr>
  </w:style>
  <w:style w:type="character" w:customStyle="1" w:styleId="69">
    <w:name w:val="标题 3 字符"/>
    <w:basedOn w:val="7"/>
    <w:link w:val="3"/>
    <w:semiHidden/>
    <w:qFormat/>
    <w:uiPriority w:val="9"/>
    <w:rPr>
      <w:b/>
      <w:bCs/>
      <w:kern w:val="2"/>
      <w:sz w:val="32"/>
      <w:szCs w:val="32"/>
    </w:rPr>
  </w:style>
  <w:style w:type="paragraph" w:customStyle="1" w:styleId="70">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24848</Words>
  <Characters>25949</Characters>
  <Lines>954</Lines>
  <Paragraphs>268</Paragraphs>
  <TotalTime>0</TotalTime>
  <ScaleCrop>false</ScaleCrop>
  <LinksUpToDate>false</LinksUpToDate>
  <CharactersWithSpaces>25975</CharactersWithSpaces>
  <Application>WPS Office_11.8.2.12185_F1E327BC-269C-435d-A152-05C5408002CA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2024-08-09T07:20:00Z</dcterms:created>
  <dc:creator>qiang guo</dc:creator>
  <cp:lastModifiedBy>user</cp:lastModifiedBy>
  <cp:lastPrinted>2024-08-09T03:07:00Z</cp:lastPrinted>
  <dcterms:modified xsi:type="dcterms:W3CDTF">2025-07-07T15:45:15Z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2052-11.8.2.12185</vt:lpwstr>
  </property>
  <property fmtid="{D5CDD505-2E9C-101B-9397-08002B2CF9AE}" pid="3" name="ICV">
    <vt:lpwstr>08176DA06731AE11288D676861D819BA</vt:lpwstr>
  </property>
  <property fmtid="{D5CDD505-2E9C-101B-9397-08002B2CF9AE}" pid="4" name="KSOTemplateDocerSaveRecord">
    <vt:lpwstr>eyJoZGlkIjoiZmI4NmE2NDUzNzY0YWFiZDhlZGJjYWEzYTE5YWJlNzIiLCJ1c2VySWQiOiIyMzg2MDQxMzcifQ==</vt:lpwstr>
  </property>
</Properties>
</file>