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CBA2">
      <w:pPr>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kern w:val="0"/>
          <w:sz w:val="44"/>
          <w:szCs w:val="44"/>
          <w:highlight w:val="none"/>
          <w:lang w:eastAsia="zh-CN"/>
        </w:rPr>
      </w:pPr>
      <w:r>
        <w:rPr>
          <w:rFonts w:hint="eastAsia" w:ascii="黑体" w:hAnsi="黑体" w:eastAsia="黑体" w:cs="黑体"/>
          <w:b w:val="0"/>
          <w:bCs w:val="0"/>
          <w:spacing w:val="31"/>
          <w:sz w:val="32"/>
          <w:szCs w:val="32"/>
        </w:rPr>
        <w:t>附件</w:t>
      </w:r>
    </w:p>
    <w:p w14:paraId="17FA36DD">
      <w:pPr>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三元区既有住宅增设电梯实施办法</w:t>
      </w:r>
    </w:p>
    <w:p w14:paraId="43045264">
      <w:pPr>
        <w:keepNext w:val="0"/>
        <w:keepLines w:val="0"/>
        <w:pageBreakBefore w:val="0"/>
        <w:widowControl w:val="0"/>
        <w:kinsoku/>
        <w:wordWrap/>
        <w:overflowPunct/>
        <w:topLinePunct w:val="0"/>
        <w:autoSpaceDE/>
        <w:autoSpaceDN/>
        <w:bidi w:val="0"/>
        <w:adjustRightInd w:val="0"/>
        <w:snapToGrid/>
        <w:spacing w:line="530" w:lineRule="exact"/>
        <w:ind w:left="0" w:leftChars="0" w:firstLine="0" w:firstLineChars="0"/>
        <w:jc w:val="center"/>
        <w:textAlignment w:val="auto"/>
        <w:rPr>
          <w:rFonts w:hint="eastAsia" w:ascii="方正小标宋简体" w:eastAsia="方正小标宋简体"/>
          <w:sz w:val="40"/>
          <w:szCs w:val="40"/>
        </w:rPr>
      </w:pPr>
      <w:r>
        <w:rPr>
          <w:rFonts w:hint="eastAsia" w:ascii="方正小标宋简体" w:eastAsia="方正小标宋简体"/>
          <w:sz w:val="44"/>
          <w:szCs w:val="44"/>
        </w:rPr>
        <w:t xml:space="preserve">   </w:t>
      </w:r>
      <w:r>
        <w:rPr>
          <w:rFonts w:hint="eastAsia" w:ascii="方正小标宋简体" w:eastAsia="方正小标宋简体"/>
          <w:sz w:val="40"/>
          <w:szCs w:val="40"/>
        </w:rPr>
        <w:t xml:space="preserve">    </w:t>
      </w:r>
    </w:p>
    <w:p w14:paraId="0C8EC0ED">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第一条</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为适应社会经济发展和人口老龄化需求，完善既有住宅使用功能，促进社会和谐发展，根据《中华人民共和国民法典》《中华人民共和国城乡规划法》《中华人民共和国建筑法》《中华人民共和国特种设备安全法》《福建省物业管理条例》《福建省电梯安全管理条例》《特种设备使用单位落实使用安全主体责任监督管理</w:t>
      </w:r>
      <w:bookmarkStart w:id="0" w:name="_GoBack"/>
      <w:bookmarkEnd w:id="0"/>
      <w:r>
        <w:rPr>
          <w:rFonts w:hint="eastAsia" w:ascii="仿宋_GB2312" w:hAnsi="仿宋_GB2312" w:eastAsia="仿宋_GB2312" w:cs="仿宋_GB2312"/>
          <w:color w:val="auto"/>
          <w:kern w:val="0"/>
          <w:sz w:val="32"/>
          <w:szCs w:val="32"/>
          <w:highlight w:val="none"/>
        </w:rPr>
        <w:t>规定》《福建省城市既有住宅增设电梯指导意见》《三明市城市既有住宅增设电梯工作指南(试行)》等有关规定，结合我区实际，制定本办法。</w:t>
      </w:r>
    </w:p>
    <w:p w14:paraId="209BC21D">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第二条</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三明市三元区既有住宅增设电梯，适用本办法。</w:t>
      </w:r>
    </w:p>
    <w:p w14:paraId="21C2F7E9">
      <w:pPr>
        <w:keepNext w:val="0"/>
        <w:keepLines w:val="0"/>
        <w:pageBreakBefore w:val="0"/>
        <w:widowControl/>
        <w:shd w:val="clear" w:color="auto" w:fill="FFFFFF"/>
        <w:kinsoku/>
        <w:wordWrap/>
        <w:overflowPunct/>
        <w:topLinePunct w:val="0"/>
        <w:autoSpaceDE/>
        <w:autoSpaceDN/>
        <w:bidi w:val="0"/>
        <w:snapToGrid/>
        <w:spacing w:line="53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本办法所称既有住宅，是指具有权属证明或合法报批手续、已建成投入使用的四层及四层以上的多业主无电梯住宅。</w:t>
      </w:r>
    </w:p>
    <w:p w14:paraId="09DDF0CD">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已列入拆迁改造计划的住宅</w:t>
      </w:r>
      <w:r>
        <w:rPr>
          <w:rFonts w:hint="eastAsia" w:ascii="仿宋_GB2312" w:hAnsi="仿宋_GB2312" w:eastAsia="仿宋_GB2312" w:cs="仿宋_GB2312"/>
          <w:color w:val="auto"/>
          <w:kern w:val="0"/>
          <w:sz w:val="32"/>
          <w:szCs w:val="32"/>
          <w:highlight w:val="none"/>
          <w:lang w:eastAsia="zh-CN"/>
        </w:rPr>
        <w:t>不适用本办法。</w:t>
      </w:r>
    </w:p>
    <w:p w14:paraId="2E9C9E2C">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第三条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既有住宅增设电梯工作遵循“政府引导、社区主导、业主负责、保障安全”的原则，实行民主协商、基层自治的工作机制。</w:t>
      </w:r>
    </w:p>
    <w:p w14:paraId="5794692F">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第四条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既有住宅增设电梯应满足城市规划、建筑结构和公共消防等方面的要求，坚持因地制宜、安全适用、经济美观、风貌协调的原则，尽量减少对低层住宅以及相邻建筑的不利影响，不得影响城市规划实施，不得增加或者变相增加与增设电梯无关的空间。增设电梯项目对相关利害关系人造成法律意义上的直接影响的，应经利害关系人同意。</w:t>
      </w:r>
    </w:p>
    <w:p w14:paraId="43307F1B">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增设电梯使用的土地原则上应在建设项目批准的用地红线范围之内（原产权建设用地红线范围内）。若增设电梯使用土地超出土地登记宗地界线的，应符合城市规划要求，不影响公共消防、通行、安全。涉及占用其他权利人土地的，应征得相关权利人同意。</w:t>
      </w:r>
    </w:p>
    <w:p w14:paraId="4C2DC349">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二</w:t>
      </w:r>
      <w:r>
        <w:rPr>
          <w:rFonts w:hint="eastAsia" w:ascii="仿宋_GB2312" w:hAnsi="仿宋_GB2312" w:eastAsia="仿宋_GB2312" w:cs="仿宋_GB2312"/>
          <w:color w:val="auto"/>
          <w:kern w:val="0"/>
          <w:sz w:val="32"/>
          <w:szCs w:val="32"/>
          <w:highlight w:val="none"/>
        </w:rPr>
        <w:t>）增设电梯不得占用城市道路用地，沿城市主要干道两侧不得增设电梯。</w:t>
      </w:r>
    </w:p>
    <w:p w14:paraId="5C2E7182">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kern w:val="0"/>
          <w:sz w:val="32"/>
          <w:szCs w:val="32"/>
          <w:highlight w:val="none"/>
        </w:rPr>
        <w:t>）增设电梯后，建筑周边应保证消防疏散要求，并确保原车行通道能继续满足车行要求。</w:t>
      </w:r>
    </w:p>
    <w:p w14:paraId="1B0831DE">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四</w:t>
      </w:r>
      <w:r>
        <w:rPr>
          <w:rFonts w:hint="eastAsia" w:ascii="仿宋_GB2312" w:hAnsi="仿宋_GB2312" w:eastAsia="仿宋_GB2312" w:cs="仿宋_GB2312"/>
          <w:color w:val="auto"/>
          <w:kern w:val="0"/>
          <w:sz w:val="32"/>
          <w:szCs w:val="32"/>
          <w:highlight w:val="none"/>
        </w:rPr>
        <w:t>）增设电梯通过连廊与原住宅楼相连的，连廊伸出长度原则上不得大于3米。</w:t>
      </w:r>
    </w:p>
    <w:p w14:paraId="6D59C1D8">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五</w:t>
      </w:r>
      <w:r>
        <w:rPr>
          <w:rFonts w:hint="eastAsia" w:ascii="仿宋_GB2312" w:hAnsi="仿宋_GB2312" w:eastAsia="仿宋_GB2312" w:cs="仿宋_GB2312"/>
          <w:color w:val="auto"/>
          <w:kern w:val="0"/>
          <w:sz w:val="32"/>
          <w:szCs w:val="32"/>
          <w:highlight w:val="none"/>
        </w:rPr>
        <w:t>）增设电梯与周边建构筑物的间距应满足消防要求，保障各类功能正常适用。</w:t>
      </w:r>
    </w:p>
    <w:p w14:paraId="01CCA424">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六</w:t>
      </w:r>
      <w:r>
        <w:rPr>
          <w:rFonts w:hint="eastAsia" w:ascii="仿宋_GB2312" w:hAnsi="仿宋_GB2312" w:eastAsia="仿宋_GB2312" w:cs="仿宋_GB2312"/>
          <w:color w:val="auto"/>
          <w:kern w:val="0"/>
          <w:sz w:val="32"/>
          <w:szCs w:val="32"/>
          <w:highlight w:val="none"/>
        </w:rPr>
        <w:t>）增设电梯应满足底层产权车库业主车辆正常通行要求。</w:t>
      </w:r>
    </w:p>
    <w:p w14:paraId="6D0CF5EC">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七</w:t>
      </w:r>
      <w:r>
        <w:rPr>
          <w:rFonts w:hint="eastAsia" w:ascii="仿宋_GB2312" w:hAnsi="仿宋_GB2312" w:eastAsia="仿宋_GB2312" w:cs="仿宋_GB2312"/>
          <w:color w:val="auto"/>
          <w:kern w:val="0"/>
          <w:sz w:val="32"/>
          <w:szCs w:val="32"/>
          <w:highlight w:val="none"/>
        </w:rPr>
        <w:t>）增设电梯轿厢尺寸应尽量考虑容纳担架空间，电梯外观应与原建筑物及周边环境协调统一，同一小区增设电梯外观应保持一致。</w:t>
      </w:r>
    </w:p>
    <w:p w14:paraId="3AE707EC">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cs="仿宋_GB2312"/>
          <w:color w:val="auto"/>
          <w:kern w:val="0"/>
          <w:sz w:val="32"/>
          <w:szCs w:val="32"/>
          <w:highlight w:val="none"/>
          <w:lang w:eastAsia="zh-CN"/>
        </w:rPr>
        <w:t>八</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增设电梯应同时满足《三明市城市规划管理技术规定(暂行)》(明自然资</w:t>
      </w:r>
      <w:r>
        <w:rPr>
          <w:rFonts w:hint="eastAsia" w:ascii="宋体" w:hAnsi="宋体" w:cs="宋体"/>
          <w:color w:val="auto"/>
          <w:sz w:val="32"/>
          <w:szCs w:val="32"/>
          <w:highlight w:val="none"/>
        </w:rPr>
        <w:t>〔</w:t>
      </w:r>
      <w:r>
        <w:rPr>
          <w:rFonts w:hint="eastAsia" w:ascii="仿宋_GB2312" w:hAnsi="仿宋_GB2312" w:eastAsia="仿宋_GB2312" w:cs="仿宋_GB2312"/>
          <w:color w:val="auto"/>
          <w:sz w:val="32"/>
          <w:szCs w:val="32"/>
          <w:highlight w:val="none"/>
        </w:rPr>
        <w:t>2019</w:t>
      </w:r>
      <w:r>
        <w:rPr>
          <w:rFonts w:hint="eastAsia" w:ascii="宋体" w:hAnsi="宋体" w:cs="宋体"/>
          <w:color w:val="auto"/>
          <w:sz w:val="32"/>
          <w:szCs w:val="32"/>
          <w:highlight w:val="none"/>
        </w:rPr>
        <w:t>〕</w:t>
      </w:r>
      <w:r>
        <w:rPr>
          <w:rFonts w:hint="eastAsia" w:ascii="仿宋_GB2312" w:hAnsi="仿宋_GB2312" w:eastAsia="仿宋_GB2312" w:cs="仿宋_GB2312"/>
          <w:color w:val="auto"/>
          <w:sz w:val="32"/>
          <w:szCs w:val="32"/>
          <w:highlight w:val="none"/>
        </w:rPr>
        <w:t>148号)。</w:t>
      </w:r>
    </w:p>
    <w:p w14:paraId="01C1DD3B">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第五条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按梯号为单位，以下单位或个人(以下简称“申请人”)可作为既有住宅增设电梯的实施主体提出增设电梯申请：</w:t>
      </w:r>
    </w:p>
    <w:p w14:paraId="48FD0FBB">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（一）业主或者业主代表可以提出申请，也可以由业主委员会提出申请。申请的业主人数超过5名的，应当推选不超过5名业主作为代表</w:t>
      </w:r>
      <w:r>
        <w:rPr>
          <w:rFonts w:hint="eastAsia" w:ascii="仿宋_GB2312" w:hAnsi="仿宋_GB2312" w:cs="仿宋_GB2312"/>
          <w:color w:val="auto"/>
          <w:kern w:val="0"/>
          <w:sz w:val="32"/>
          <w:szCs w:val="32"/>
          <w:highlight w:val="none"/>
          <w:lang w:eastAsia="zh-CN"/>
        </w:rPr>
        <w:t>。</w:t>
      </w:r>
    </w:p>
    <w:p w14:paraId="33FEA90D">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（二）业主可以委托业主委员会、社区、物业服务企业、原房地产开发企业、建筑施工企业、电梯生产安装企业等提出增设电梯申请</w:t>
      </w:r>
      <w:r>
        <w:rPr>
          <w:rFonts w:hint="eastAsia" w:ascii="仿宋_GB2312" w:hAnsi="仿宋_GB2312" w:cs="仿宋_GB2312"/>
          <w:color w:val="auto"/>
          <w:kern w:val="0"/>
          <w:sz w:val="32"/>
          <w:szCs w:val="32"/>
          <w:highlight w:val="none"/>
          <w:lang w:eastAsia="zh-CN"/>
        </w:rPr>
        <w:t>。</w:t>
      </w:r>
    </w:p>
    <w:p w14:paraId="1C2CE3BA">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（三）拟增设电梯住宅属于房改房的，业主可以委托原房改售房单位提出申请；原房改售房单位已经关闭、破产、撤销，其住房维修基金已转归其上级主管部门管理的，也可以委托上级主管部门提出申请。</w:t>
      </w:r>
    </w:p>
    <w:p w14:paraId="4FC0928A">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申请人对申请材料的真实性负责，承担相关法律法规规定的工程项目建设单位所应承担的义务。</w:t>
      </w:r>
    </w:p>
    <w:p w14:paraId="2FE1222E">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第六条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申请人在报建实施前应履行以下程序：</w:t>
      </w:r>
    </w:p>
    <w:p w14:paraId="1A6367D2">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（一）可行性分析及初步方案制定编制。申请人应委托</w:t>
      </w:r>
      <w:r>
        <w:rPr>
          <w:rFonts w:hint="eastAsia" w:ascii="仿宋_GB2312" w:hAnsi="仿宋_GB2312" w:eastAsia="仿宋_GB2312" w:cs="仿宋_GB2312"/>
          <w:color w:val="auto"/>
          <w:kern w:val="0"/>
          <w:sz w:val="32"/>
          <w:szCs w:val="32"/>
          <w:highlight w:val="none"/>
          <w:lang w:eastAsia="zh-CN"/>
        </w:rPr>
        <w:t>具备相应</w:t>
      </w:r>
      <w:r>
        <w:rPr>
          <w:rFonts w:hint="eastAsia" w:ascii="仿宋_GB2312" w:hAnsi="仿宋_GB2312" w:eastAsia="仿宋_GB2312" w:cs="仿宋_GB2312"/>
          <w:color w:val="auto"/>
          <w:kern w:val="0"/>
          <w:sz w:val="32"/>
          <w:szCs w:val="32"/>
          <w:highlight w:val="none"/>
        </w:rPr>
        <w:t>资质等级的设计单位编制增设电梯设计方案</w:t>
      </w:r>
      <w:r>
        <w:rPr>
          <w:rFonts w:hint="eastAsia" w:ascii="仿宋_GB2312" w:hAnsi="仿宋_GB2312" w:eastAsia="仿宋_GB2312" w:cs="仿宋_GB2312"/>
          <w:color w:val="auto"/>
          <w:kern w:val="0"/>
          <w:sz w:val="32"/>
          <w:szCs w:val="32"/>
          <w:highlight w:val="none"/>
          <w:lang w:eastAsia="zh-CN"/>
        </w:rPr>
        <w:t>，</w:t>
      </w:r>
      <w:r>
        <w:rPr>
          <w:rFonts w:hint="eastAsia" w:ascii="宋体" w:hAnsi="宋体" w:eastAsia="仿宋_GB2312" w:cs="仿宋_GB2312"/>
          <w:color w:val="auto"/>
          <w:sz w:val="31"/>
          <w:highlight w:val="none"/>
        </w:rPr>
        <w:t>由设计单位对增设电梯的结构安全性负责</w:t>
      </w:r>
      <w:r>
        <w:rPr>
          <w:rFonts w:hint="eastAsia" w:ascii="仿宋_GB2312" w:hAnsi="仿宋_GB2312" w:eastAsia="仿宋_GB2312" w:cs="仿宋_GB2312"/>
          <w:color w:val="auto"/>
          <w:kern w:val="0"/>
          <w:sz w:val="32"/>
          <w:szCs w:val="32"/>
          <w:highlight w:val="none"/>
        </w:rPr>
        <w:t>。方案应包括规划用地、建筑结构、消防安全等方面的可行性分析，增设电梯的总平面图布局，资金概算及费用筹集方案，电梯运行维护保养费用分摊方案等内容</w:t>
      </w:r>
      <w:r>
        <w:rPr>
          <w:rFonts w:hint="eastAsia" w:ascii="仿宋_GB2312" w:hAnsi="仿宋_GB2312" w:eastAsia="仿宋_GB2312" w:cs="仿宋_GB2312"/>
          <w:color w:val="auto"/>
          <w:kern w:val="0"/>
          <w:sz w:val="32"/>
          <w:szCs w:val="32"/>
          <w:highlight w:val="none"/>
          <w:lang w:eastAsia="zh-CN"/>
        </w:rPr>
        <w:t>；若原建筑物预留有电梯井，应对原电梯井情况进行技术分析。</w:t>
      </w:r>
    </w:p>
    <w:p w14:paraId="6C2A55A7">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（二）方案初审。申请人向</w:t>
      </w:r>
      <w:r>
        <w:rPr>
          <w:rFonts w:hint="eastAsia" w:ascii="仿宋_GB2312" w:hAnsi="仿宋_GB2312" w:eastAsia="仿宋_GB2312" w:cs="仿宋_GB2312"/>
          <w:color w:val="auto"/>
          <w:kern w:val="0"/>
          <w:sz w:val="32"/>
          <w:szCs w:val="32"/>
          <w:highlight w:val="none"/>
          <w:u w:val="none"/>
        </w:rPr>
        <w:t>三明市（三元区）政务服务中心工程建设综合窗口</w:t>
      </w:r>
      <w:r>
        <w:rPr>
          <w:rFonts w:hint="eastAsia" w:ascii="仿宋_GB2312" w:hAnsi="仿宋_GB2312" w:eastAsia="仿宋_GB2312" w:cs="仿宋_GB2312"/>
          <w:color w:val="auto"/>
          <w:kern w:val="0"/>
          <w:sz w:val="32"/>
          <w:szCs w:val="32"/>
          <w:highlight w:val="none"/>
        </w:rPr>
        <w:t>提交初步设计方案，由区自然资源局安排专业人员实地勘察，确认申请人所选位置是否适合加装电梯。确认可行后，由区自然资源局组织城管、住建、工程所在街道办（乡、镇）等部门对初步设计方案进行初审，确认项目实施性，出具《三元区既有住宅增设电梯方案联合初审意见表》。自然资源局负责设计方案占用土地和规划方面的初审；街道（乡、镇）负责申请资格的初审；城市管理和综合执法局负责物业管理方面的初审；住建局负责消防安全等方面的初审。</w:t>
      </w:r>
    </w:p>
    <w:p w14:paraId="32322F95">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组织业主表决。申请人应当就增设电梯的意向和具体方案等问题进行充分协商，并征求所在楼幢全体业主的意见后提请社区居委会组织表决。增设电梯方案应当由同梯号房屋专有部分面积占比三分之二以上且人数占比三分之二以上的业主参与表决，并经参与表决同梯号房屋专有部分面积四分之三且参与表决人数四分之三以上的业主同意，参与表决业主意见（如“同意”、“不同意”等）均应在申请材料上注明。建筑底层为店面，需向同梯位底层左右相邻两间店面业主征求意见。增设电梯拟占用业主专有部分的，还应当征得该专有部分的业主同意。</w:t>
      </w:r>
    </w:p>
    <w:p w14:paraId="5E1859CC">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进行方案公示。增设电梯设计方案由增设电梯住宅所在社区居委会在拟增设电梯单元楼道口、小区出入口、社区公示栏等位置公示10天。公示期间异议反馈及调解情况，由社区居委会在《既有住宅增设电梯建设工程备案表》填写。有异议的，所在社区居委会应业主请求，应当组织调解，促使相关业主在平等协商基础上自愿达成调解协议。</w:t>
      </w:r>
    </w:p>
    <w:p w14:paraId="5A206E7D">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经协商、协调或调解无法达成一致意见的，由申请人提请所在地街道办事处召开听证会。听证会由增设电梯所在的街道办事处组织，听证代表人数不得少于5名，至少邀请1名人大代表、1名政协委员、1名司法部门工作人员、1名设计单位或审图机构工作人员作为听证代表参加听证会。听证会后，街道办事处应根据听证代表的投票结果出具增设电梯的听证意见，并抄送相关业主、利害关系人和自然资源、住建、城管、市场监管等相关部门。</w:t>
      </w:r>
    </w:p>
    <w:p w14:paraId="5076C46E">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听证会后，若增设电梯方案满足规划要求，但本梯位少数业主或小区内部分业主仍有异议无法达成一致意见的，社区居委会应积极做好调解沟通工作，引导相关业主依法通过法律诉讼途径解决。各方最终均应服从司法裁定并承担相关责任。</w:t>
      </w:r>
    </w:p>
    <w:p w14:paraId="64192928">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组织资格复核。申请人资格符合要求的，街道办事处在《既有住宅增设电梯建设工程备案表》中填写相关内容并做好业主签字意见表（含相关业主身份证及不动产权证复印件）、公示、调解、听证等材料的保管。</w:t>
      </w:r>
    </w:p>
    <w:p w14:paraId="648C9D2D">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第七条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申请人履行完本办法第六条规定的程序后，按照以下流程报建与实施。</w:t>
      </w:r>
    </w:p>
    <w:p w14:paraId="5015BEDB">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（一）规划备案。申请人向三明市（三元区）政务服务中心工程建设综合窗口提交增设电梯工程设计方案（含总平面图、各层平面图、立面图、剖面图、效果图等）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自然资源</w:t>
      </w:r>
      <w:r>
        <w:rPr>
          <w:rFonts w:hint="eastAsia" w:ascii="仿宋_GB2312" w:hAnsi="仿宋_GB2312" w:cs="仿宋_GB2312"/>
          <w:color w:val="auto"/>
          <w:kern w:val="0"/>
          <w:sz w:val="32"/>
          <w:szCs w:val="32"/>
          <w:highlight w:val="none"/>
          <w:lang w:eastAsia="zh-CN"/>
        </w:rPr>
        <w:t>局</w:t>
      </w:r>
      <w:r>
        <w:rPr>
          <w:rFonts w:hint="eastAsia" w:ascii="仿宋_GB2312" w:hAnsi="仿宋_GB2312" w:eastAsia="仿宋_GB2312" w:cs="仿宋_GB2312"/>
          <w:color w:val="auto"/>
          <w:kern w:val="0"/>
          <w:sz w:val="32"/>
          <w:szCs w:val="32"/>
          <w:highlight w:val="none"/>
        </w:rPr>
        <w:t>在5个工作日内进行审核并在《既有住宅增设电梯建设工程备案表》中签署备案意见，并发放批后监管通知书。</w:t>
      </w:r>
    </w:p>
    <w:p w14:paraId="5DCA2BA0">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申请人应当按照既有住宅增设电梯规划备案方案进行建设。规划方案经备案后原则上不再变更，确需进行变更的，应当按程序重新公示后再申请规划备案。</w:t>
      </w:r>
    </w:p>
    <w:p w14:paraId="64C9D923">
      <w:pPr>
        <w:keepNext w:val="0"/>
        <w:keepLines w:val="0"/>
        <w:pageBreakBefore w:val="0"/>
        <w:widowControl/>
        <w:suppressLineNumbers w:val="0"/>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设计图审。申请人应当委托具备相应建筑设计资质的设计单位，按照相关技术标准、规范进行施工图设计。施工图需经具备资格的施工图审查机构审查合格。申请人应提供原房屋建筑地质勘察报告和竣（施）工图。无原房屋建筑地质勘察报告的应委托有资质的勘察、设计单位进行现场确认，并报施工图审查机构备案。</w:t>
      </w:r>
    </w:p>
    <w:p w14:paraId="2DCDA748">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施工备案。施工安装前，申请人持施工合同、监理合同、质量安全技术措施审核表以及经施工图审查机构审查合格的增设电梯设计施工图等材料，到三明市（三元区）政务服务中心工程建设综合窗口办理告知承诺手续，承诺在施工安装过程中严格遵守国家相关管理规定和技术标准，明确计划开竣工时间；住建</w:t>
      </w:r>
      <w:r>
        <w:rPr>
          <w:rFonts w:hint="eastAsia" w:ascii="仿宋_GB2312" w:hAnsi="仿宋_GB2312" w:cs="仿宋_GB2312"/>
          <w:color w:val="auto"/>
          <w:kern w:val="0"/>
          <w:sz w:val="32"/>
          <w:szCs w:val="32"/>
          <w:highlight w:val="none"/>
          <w:lang w:eastAsia="zh-CN"/>
        </w:rPr>
        <w:t>局</w:t>
      </w:r>
      <w:r>
        <w:rPr>
          <w:rFonts w:hint="eastAsia" w:ascii="仿宋_GB2312" w:hAnsi="仿宋_GB2312" w:eastAsia="仿宋_GB2312" w:cs="仿宋_GB2312"/>
          <w:color w:val="auto"/>
          <w:kern w:val="0"/>
          <w:sz w:val="32"/>
          <w:szCs w:val="32"/>
          <w:highlight w:val="none"/>
        </w:rPr>
        <w:t>在5个工作日内进行审核并在《既有住宅增设电梯建设工程备案表》中签署备案意见。</w:t>
      </w:r>
    </w:p>
    <w:p w14:paraId="112F2FB7">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安全监督。申请人在建设项目开工建设前，应向属地社区登记，纳入小散工程管理监督范围。同时须在建设项目开工建设前，须在建筑工地醒目位置设置既有住宅增设电梯公示牌，公示时间至项目建设完成。公示牌的内容应包括既有住宅增设电梯建设工程备案表、方案总平面图、申请单位、施工单位、监理单位、监督单位联系电话等。</w:t>
      </w:r>
    </w:p>
    <w:p w14:paraId="536FF811">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（五）竣工验收</w:t>
      </w:r>
    </w:p>
    <w:p w14:paraId="18DF03B7">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1.井道及基础验收。井道及基础施工单位应具备相应资质。实施主体或代理业主应委托监理单位对工程质量安全进行监督管理。电梯基坑完成时，申请人通知政务服务中心工程建设综合窗口，自然资源</w:t>
      </w:r>
      <w:r>
        <w:rPr>
          <w:rFonts w:hint="eastAsia" w:ascii="仿宋_GB2312" w:hAnsi="仿宋_GB2312" w:cs="仿宋_GB2312"/>
          <w:color w:val="auto"/>
          <w:kern w:val="0"/>
          <w:sz w:val="32"/>
          <w:szCs w:val="32"/>
          <w:highlight w:val="none"/>
          <w:lang w:eastAsia="zh-CN"/>
        </w:rPr>
        <w:t>局</w:t>
      </w:r>
      <w:r>
        <w:rPr>
          <w:rFonts w:hint="eastAsia" w:ascii="仿宋_GB2312" w:hAnsi="仿宋_GB2312" w:eastAsia="仿宋_GB2312" w:cs="仿宋_GB2312"/>
          <w:color w:val="auto"/>
          <w:kern w:val="0"/>
          <w:sz w:val="32"/>
          <w:szCs w:val="32"/>
          <w:highlight w:val="none"/>
        </w:rPr>
        <w:t>根据备案方案进行现场验核确认，不符合备案方案的，下达通知书进行整改，涉及违法建设的依程序移送综合执法</w:t>
      </w:r>
      <w:r>
        <w:rPr>
          <w:rFonts w:hint="eastAsia" w:ascii="仿宋_GB2312" w:hAnsi="仿宋_GB2312" w:cs="仿宋_GB2312"/>
          <w:color w:val="auto"/>
          <w:kern w:val="0"/>
          <w:sz w:val="32"/>
          <w:szCs w:val="32"/>
          <w:highlight w:val="none"/>
          <w:lang w:eastAsia="zh-CN"/>
        </w:rPr>
        <w:t>部门</w:t>
      </w:r>
      <w:r>
        <w:rPr>
          <w:rFonts w:hint="eastAsia" w:ascii="仿宋_GB2312" w:hAnsi="仿宋_GB2312" w:eastAsia="仿宋_GB2312" w:cs="仿宋_GB2312"/>
          <w:color w:val="auto"/>
          <w:kern w:val="0"/>
          <w:sz w:val="32"/>
          <w:szCs w:val="32"/>
          <w:highlight w:val="none"/>
        </w:rPr>
        <w:t>进行立案查处。井道及基础工程竣工后，实施主体或代理业主应组织设计、施工、监理等单位进行质量竣工验收，属地</w:t>
      </w:r>
      <w:r>
        <w:rPr>
          <w:rFonts w:hint="eastAsia" w:ascii="仿宋_GB2312" w:hAnsi="仿宋_GB2312" w:eastAsia="仿宋_GB2312" w:cs="仿宋_GB2312"/>
          <w:color w:val="auto"/>
          <w:kern w:val="0"/>
          <w:sz w:val="32"/>
          <w:szCs w:val="32"/>
          <w:highlight w:val="none"/>
          <w:lang w:eastAsia="zh-CN"/>
        </w:rPr>
        <w:t>街道及区</w:t>
      </w:r>
      <w:r>
        <w:rPr>
          <w:rFonts w:hint="eastAsia" w:ascii="仿宋_GB2312" w:hAnsi="仿宋_GB2312" w:eastAsia="仿宋_GB2312" w:cs="仿宋_GB2312"/>
          <w:color w:val="auto"/>
          <w:kern w:val="0"/>
          <w:sz w:val="32"/>
          <w:szCs w:val="32"/>
          <w:highlight w:val="none"/>
        </w:rPr>
        <w:t>住建</w:t>
      </w:r>
      <w:r>
        <w:rPr>
          <w:rFonts w:hint="eastAsia" w:ascii="仿宋_GB2312" w:hAnsi="仿宋_GB2312" w:eastAsia="仿宋_GB2312" w:cs="仿宋_GB2312"/>
          <w:color w:val="auto"/>
          <w:kern w:val="0"/>
          <w:sz w:val="32"/>
          <w:szCs w:val="32"/>
          <w:highlight w:val="none"/>
          <w:lang w:eastAsia="zh-CN"/>
        </w:rPr>
        <w:t>局</w:t>
      </w:r>
      <w:r>
        <w:rPr>
          <w:rFonts w:hint="eastAsia" w:ascii="仿宋_GB2312" w:hAnsi="仿宋_GB2312" w:eastAsia="仿宋_GB2312" w:cs="仿宋_GB2312"/>
          <w:color w:val="auto"/>
          <w:kern w:val="0"/>
          <w:sz w:val="32"/>
          <w:szCs w:val="32"/>
          <w:highlight w:val="none"/>
        </w:rPr>
        <w:t>参与监督</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完成五方责任主体的验收后方可进行电梯安装。</w:t>
      </w:r>
    </w:p>
    <w:p w14:paraId="49679227">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2.电梯安装及使用登记。电梯安装单位应具备相应资质。安装前应当向</w:t>
      </w:r>
      <w:r>
        <w:rPr>
          <w:rFonts w:hint="eastAsia" w:ascii="仿宋_GB2312" w:hAnsi="仿宋_GB2312" w:cs="仿宋_GB2312"/>
          <w:color w:val="auto"/>
          <w:kern w:val="0"/>
          <w:sz w:val="32"/>
          <w:szCs w:val="32"/>
          <w:highlight w:val="none"/>
          <w:lang w:eastAsia="zh-CN"/>
        </w:rPr>
        <w:t>区</w:t>
      </w:r>
      <w:r>
        <w:rPr>
          <w:rFonts w:hint="eastAsia" w:ascii="仿宋_GB2312" w:hAnsi="仿宋_GB2312" w:eastAsia="仿宋_GB2312" w:cs="仿宋_GB2312"/>
          <w:color w:val="auto"/>
          <w:kern w:val="0"/>
          <w:sz w:val="32"/>
          <w:szCs w:val="32"/>
          <w:highlight w:val="none"/>
        </w:rPr>
        <w:t>市场监管</w:t>
      </w:r>
      <w:r>
        <w:rPr>
          <w:rFonts w:hint="eastAsia" w:ascii="仿宋_GB2312" w:hAnsi="仿宋_GB2312" w:cs="仿宋_GB2312"/>
          <w:color w:val="auto"/>
          <w:kern w:val="0"/>
          <w:sz w:val="32"/>
          <w:szCs w:val="32"/>
          <w:highlight w:val="none"/>
          <w:lang w:eastAsia="zh-CN"/>
        </w:rPr>
        <w:t>局</w:t>
      </w:r>
      <w:r>
        <w:rPr>
          <w:rFonts w:hint="eastAsia" w:ascii="仿宋_GB2312" w:hAnsi="仿宋_GB2312" w:eastAsia="仿宋_GB2312" w:cs="仿宋_GB2312"/>
          <w:color w:val="auto"/>
          <w:kern w:val="0"/>
          <w:sz w:val="32"/>
          <w:szCs w:val="32"/>
          <w:highlight w:val="none"/>
        </w:rPr>
        <w:t>办理开工告知手续，安装过程必须经过特种设备检验机构监督检验，监检合格后方可投入使用。使用单位应在电梯投入使用前或者投入使用后30日内，持使用单位统一社会信用代码复印件、委托书、经办人身份证明、监督检验合格报告、产品合格证、特种设备使用登记申请表等向</w:t>
      </w:r>
      <w:r>
        <w:rPr>
          <w:rFonts w:hint="eastAsia" w:ascii="仿宋_GB2312" w:hAnsi="仿宋_GB2312" w:cs="仿宋_GB2312"/>
          <w:color w:val="auto"/>
          <w:kern w:val="0"/>
          <w:sz w:val="32"/>
          <w:szCs w:val="32"/>
          <w:highlight w:val="none"/>
          <w:lang w:eastAsia="zh-CN"/>
        </w:rPr>
        <w:t>区</w:t>
      </w:r>
      <w:r>
        <w:rPr>
          <w:rFonts w:hint="eastAsia" w:ascii="仿宋_GB2312" w:hAnsi="仿宋_GB2312" w:eastAsia="仿宋_GB2312" w:cs="仿宋_GB2312"/>
          <w:color w:val="auto"/>
          <w:kern w:val="0"/>
          <w:sz w:val="32"/>
          <w:szCs w:val="32"/>
          <w:highlight w:val="none"/>
        </w:rPr>
        <w:t>市场监管</w:t>
      </w:r>
      <w:r>
        <w:rPr>
          <w:rFonts w:hint="eastAsia" w:ascii="仿宋_GB2312" w:hAnsi="仿宋_GB2312" w:cs="仿宋_GB2312"/>
          <w:color w:val="auto"/>
          <w:kern w:val="0"/>
          <w:sz w:val="32"/>
          <w:szCs w:val="32"/>
          <w:highlight w:val="none"/>
          <w:lang w:eastAsia="zh-CN"/>
        </w:rPr>
        <w:t>局</w:t>
      </w:r>
      <w:r>
        <w:rPr>
          <w:rFonts w:hint="eastAsia" w:ascii="仿宋_GB2312" w:hAnsi="仿宋_GB2312" w:eastAsia="仿宋_GB2312" w:cs="仿宋_GB2312"/>
          <w:color w:val="auto"/>
          <w:kern w:val="0"/>
          <w:sz w:val="32"/>
          <w:szCs w:val="32"/>
          <w:highlight w:val="none"/>
        </w:rPr>
        <w:t>办理特种设备使用登记。</w:t>
      </w:r>
    </w:p>
    <w:p w14:paraId="01237AD6">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电梯使用维护。城市既有住宅增设电梯前，相关业主应当签订电梯使用协议，对电梯使用管理、维护保养、检验检测和修理改造等费用分摊情况作出规定。增设电梯投用后，相关业主应当按照规定委托物业服务企业、维护保养单位或专业运营服务管理公司等市场主体作为使用单位，负责电梯日常使用管理，承担安全主体责任。</w:t>
      </w:r>
    </w:p>
    <w:p w14:paraId="6FF4937C">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4.档案移交。项目通过竣工验收后，申请人应及时将工程竣工资料移交三明市城市建设档案馆。社区居委会予以督促。</w:t>
      </w:r>
    </w:p>
    <w:p w14:paraId="7296AC6E">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第八条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城镇老旧小区改造项目中增设电梯按照《福建省工程建设项目审批制度改革领导小组办公室关于简化城镇老旧小区改造项目审批手续的通知》（闽建审改〔2020〕8号）的有关规定执行，将增设电梯工程布点纳入老旧小区改造设计方案，并按程序完成表决、公示，可直接进行规划备案。</w:t>
      </w:r>
    </w:p>
    <w:p w14:paraId="100C1FE7">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第九条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既有住宅增设电梯所需资金按“谁受益、谁出资”及受益大小等因素，可通过下列渠道自行筹措：</w:t>
      </w:r>
    </w:p>
    <w:p w14:paraId="1EF9B8BB">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由业主结合所在自然楼层等因素，经充分协商后按一定比例共同出资；业主应就出资方式、出资比例或出资额、增加面积的分配、日常使用与维保维修费用的分摊以及对受到影响的部分业主予以适当补偿等事项达成增设电梯书面协议书，并签字确认；</w:t>
      </w:r>
    </w:p>
    <w:p w14:paraId="5C5FA183">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（二）相关业主可按既有住宅增设电梯使用住宅专项维修资金规定申请使用住宅专项维修资金；</w:t>
      </w:r>
    </w:p>
    <w:p w14:paraId="6F00ACD7">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（三）原产权单位或原房改售房单位（不包括财政拨款的预算单位）出资；</w:t>
      </w:r>
    </w:p>
    <w:p w14:paraId="25DD0CC1">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（四）社会投资等合法来源资金；</w:t>
      </w:r>
    </w:p>
    <w:p w14:paraId="7FE00068">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（五）其他符合规定的资金。</w:t>
      </w:r>
    </w:p>
    <w:p w14:paraId="5108257E">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增设电梯所筹措的资金及使用情况应当对外公布，接受监督。</w:t>
      </w:r>
    </w:p>
    <w:p w14:paraId="38D6E38A">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参与既有住宅增设电梯的相关主体履行下列职责。</w:t>
      </w:r>
    </w:p>
    <w:p w14:paraId="5CFA4D7D">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业主是既有住宅增设电梯的实施主体，负责意见统一、资金筹措、项目申报、设备采购、工程实施、竣工验收、安全管理、维护管理等相关工作，落实建设工程质量安全首要责任，加强工程建设过程控制和验收管理，督促设计、施工等责任主体履行质量安全主体责任，严格执行有关工程建设标准，保证合理工期和造价，对增设电梯建设和使用期间的质量安全负责。</w:t>
      </w:r>
    </w:p>
    <w:p w14:paraId="7D58A495">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设计单位负责对既有住宅是否具备增设电梯的消防、安全等条件进行技术论证，负责电梯示意方案的制定和施工图设计，严格执行工程建设标准和政策要求，协调处理实施过程中的技术问题，依法对工程设计质量负责。</w:t>
      </w:r>
    </w:p>
    <w:p w14:paraId="1CBE1A4C">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（三）施工图审查机构按照有关规范标准进行技术审查，对审查结果负责和备案。</w:t>
      </w:r>
    </w:p>
    <w:p w14:paraId="6A45745A">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（四）电梯井道及基础施工单位严格按照施工图设计文件进行施工，对施工质量安全、地下管线保护和文明施工负责。</w:t>
      </w:r>
    </w:p>
    <w:p w14:paraId="2D555AFF">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（五）监理单位对工程质量安全进行监督管理，承担法律法规规定的相关责任。</w:t>
      </w:r>
    </w:p>
    <w:p w14:paraId="3AC394C1">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（六）电梯安装单位负责电梯的安装调试，向特种设备检验检测机构申报电梯安装监督检验，承担电梯安装过程的质量安全责任。</w:t>
      </w:r>
    </w:p>
    <w:p w14:paraId="00F8BEF0">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（七）电梯维保单位负责电梯的维护保养，承担维保和应急救援责任。</w:t>
      </w:r>
    </w:p>
    <w:p w14:paraId="1EB43A0E">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（八）特种设备检验检测机构负责电梯安装过程的监督检验和投入使用后的年度定期检验</w:t>
      </w:r>
      <w:r>
        <w:rPr>
          <w:rFonts w:hint="eastAsia" w:ascii="仿宋_GB2312" w:hAnsi="仿宋_GB2312" w:eastAsia="仿宋_GB2312" w:cs="仿宋_GB2312"/>
          <w:color w:val="auto"/>
          <w:kern w:val="0"/>
          <w:sz w:val="32"/>
          <w:szCs w:val="32"/>
          <w:highlight w:val="none"/>
          <w:lang w:eastAsia="zh-CN"/>
        </w:rPr>
        <w:t>、检测</w:t>
      </w:r>
      <w:r>
        <w:rPr>
          <w:rFonts w:hint="eastAsia" w:ascii="仿宋_GB2312" w:hAnsi="仿宋_GB2312" w:eastAsia="仿宋_GB2312" w:cs="仿宋_GB2312"/>
          <w:color w:val="auto"/>
          <w:kern w:val="0"/>
          <w:sz w:val="32"/>
          <w:szCs w:val="32"/>
          <w:highlight w:val="none"/>
        </w:rPr>
        <w:t>，对检验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检测的结论负责。</w:t>
      </w:r>
    </w:p>
    <w:p w14:paraId="64A0C61F">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（九）房屋鉴定、检测、勘察等单位承担法律法规规定的相关责任。</w:t>
      </w:r>
    </w:p>
    <w:p w14:paraId="27A222E0">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（十）电梯使用单位或受委托的物业服务企业负责电梯的日常使用管理、安全与节能管理，监督电梯的维保工作质量，承担电梯使用安全与节能主体责任。</w:t>
      </w:r>
    </w:p>
    <w:p w14:paraId="6CB65F30">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第十一条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既有住宅增设电梯工作按照“街道统筹协调、社区负责实施、部门联合审查”和“简化便民”的原则，由各职能部门按照规定权限制定具体实施规则。</w:t>
      </w:r>
    </w:p>
    <w:p w14:paraId="55A1569A">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政务中心设立增设政务服务中心工程建设综合窗口，受理增设电梯行政备案；推动建立网格化管理机制，发挥街道（乡镇）的日常巡查作用，形成部门联动、街道参与的协同配合工作机制，确保工程质量和施工安全。完善老旧小区物业管理，加强电梯后续管理维护，形成长效治理格局。</w:t>
      </w:r>
    </w:p>
    <w:p w14:paraId="5C4D31FD">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区自然资源局负责增设电梯的规划用地管理及相关业务指导工作，查处增设电梯建设过程中未按照规划进行建设的行为。</w:t>
      </w:r>
    </w:p>
    <w:p w14:paraId="3A6E841E">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区住房和城乡建设局按照《中共三明市委办公室 三明市人民政府办公室印发〈关于明晰县乡职责规范“属地管理”的意见(试行)〉的通知》（明委办发〔2020〕7号）的要求，建立完善限额以下房建市政工程监管机制，明确监管方式、监管内容、监管职责，指导乡镇（街道办事处）切实落实属地监管责任，督促项目建设各方主体从严从实履行质量安全主体责任。</w:t>
      </w:r>
    </w:p>
    <w:p w14:paraId="4792AED7">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区市场监督管理局负责增设电梯的设备质量、监督检验、使用管理、维护保养等环节的安全监管工作。配合市市场监督管理局做好</w:t>
      </w:r>
      <w:r>
        <w:rPr>
          <w:rFonts w:hint="eastAsia" w:ascii="仿宋_GB2312" w:hAnsi="仿宋_GB2312" w:eastAsia="仿宋_GB2312" w:cs="仿宋_GB2312"/>
          <w:color w:val="auto"/>
          <w:sz w:val="32"/>
          <w:szCs w:val="32"/>
          <w:highlight w:val="none"/>
        </w:rPr>
        <w:t>统一向社会公布具备资质的电梯制造、安装、改造、修理单位名单等公共服务信息的工作</w:t>
      </w:r>
      <w:r>
        <w:rPr>
          <w:rFonts w:hint="eastAsia" w:ascii="仿宋_GB2312" w:hAnsi="仿宋_GB2312" w:eastAsia="仿宋_GB2312" w:cs="仿宋_GB2312"/>
          <w:color w:val="auto"/>
          <w:kern w:val="0"/>
          <w:sz w:val="32"/>
          <w:szCs w:val="32"/>
          <w:highlight w:val="none"/>
        </w:rPr>
        <w:t>；为申请人办理既有建筑物增设电梯安装施工前告知及电梯使用登记手续、提供业务指导；加强对既有建筑物增设电梯制造、安装、改造、修理单位的监督管理。</w:t>
      </w:r>
    </w:p>
    <w:p w14:paraId="1A7DE740">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区城市管理和综合执法局针对区自然资源局查处的增设电梯建设未按规划进行建设的行为，依规开展执法执行工作</w:t>
      </w:r>
      <w:r>
        <w:rPr>
          <w:rFonts w:hint="eastAsia" w:ascii="仿宋_GB2312" w:hAnsi="仿宋_GB2312" w:eastAsia="仿宋_GB2312" w:cs="仿宋_GB2312"/>
          <w:color w:val="auto"/>
          <w:kern w:val="0"/>
          <w:sz w:val="32"/>
          <w:szCs w:val="32"/>
          <w:highlight w:val="none"/>
        </w:rPr>
        <w:t>并负责指导物业企业加强电梯日常使用阶段的监督管理工作。</w:t>
      </w:r>
    </w:p>
    <w:p w14:paraId="7C5CA660">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街道办事处（乡镇人民政府）按照《中共三明市委办公室 三明市人民政府办公室印发〈关于明晰县乡职责规范“属地管理”的意见(试行)〉的通知》（明委办发〔2020〕7号）精神，切实履行属地监管责任，负责限额以下工程质量和安全的监督管理及服务工作，建立工程开工信息报告制度，定期对增设电梯工程进行巡查、抽查，发现问题及时提出整改意见，并跟踪督办，统筹做好增设电梯的宣传发动、组织协调、公示公告、民主协商、实施方案审核等工作，积极化解业主之间关于增设电梯的矛盾纠纷，统筹做好动员、建设和后续管理等相关工作，保障限额以下房建市政工程安全生产和工程质量。</w:t>
      </w:r>
    </w:p>
    <w:p w14:paraId="7D713BB3">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社区居委会（村民委员会）负责牵头组织，通知全体业主参与表决；负责增设电梯方案公示、政策宣传和相关协调管理工作，发挥好居民议事会的民主协商作用。</w:t>
      </w:r>
    </w:p>
    <w:p w14:paraId="30664EBE">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原房改房售房单位、业主委员会、物业服务企业、电梯生产安装企业等应对增设电梯工作予以指导、协助。</w:t>
      </w:r>
    </w:p>
    <w:p w14:paraId="1FC5E74B">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增设电梯涉及电力、供水、燃气、通信、市政、园林、数字电视等管线移位及其他配套设施项目改造的，相关单位应按照简化、便民的原则，参照《三明市老旧小区通信和有线广播电视管线改造工作机制（试行）》（明建〔2022〕2号）、《三明市区老旧小区供水供气管线改造工作机制（试行）》（明建〔2022〕6号）、《三明市区老旧小区供电管线改造工作机制（试行）》（明建〔2022〕24号）等有关要求，依法支持增设电梯工作。</w:t>
      </w:r>
    </w:p>
    <w:p w14:paraId="3F421556">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第十二条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业主应当按照《特种设备使用单位落实使用安全主体责任监督管理规定》要求，确定电梯使用管理单位。</w:t>
      </w:r>
    </w:p>
    <w:p w14:paraId="7EF89ADC">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电梯使用管理单位应当委托取得相应资质的单位对电梯进行维护保养，签订规范化维护保养合同，并按规定定期向特种设备检验检测机构提出检验</w:t>
      </w:r>
      <w:r>
        <w:rPr>
          <w:rFonts w:hint="eastAsia" w:ascii="仿宋_GB2312" w:hAnsi="仿宋_GB2312" w:eastAsia="仿宋_GB2312" w:cs="仿宋_GB2312"/>
          <w:color w:val="auto"/>
          <w:kern w:val="0"/>
          <w:sz w:val="32"/>
          <w:szCs w:val="32"/>
          <w:highlight w:val="none"/>
          <w:lang w:eastAsia="zh-CN"/>
        </w:rPr>
        <w:t>、检测</w:t>
      </w:r>
      <w:r>
        <w:rPr>
          <w:rFonts w:hint="eastAsia" w:ascii="仿宋_GB2312" w:hAnsi="仿宋_GB2312" w:eastAsia="仿宋_GB2312" w:cs="仿宋_GB2312"/>
          <w:color w:val="auto"/>
          <w:kern w:val="0"/>
          <w:sz w:val="32"/>
          <w:szCs w:val="32"/>
          <w:highlight w:val="none"/>
        </w:rPr>
        <w:t>申请。</w:t>
      </w:r>
    </w:p>
    <w:p w14:paraId="73D6D298">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第十三</w:t>
      </w:r>
      <w:r>
        <w:rPr>
          <w:rFonts w:hint="eastAsia" w:ascii="黑体" w:hAnsi="黑体" w:eastAsia="黑体" w:cs="黑体"/>
          <w:color w:val="auto"/>
          <w:kern w:val="0"/>
          <w:sz w:val="32"/>
          <w:szCs w:val="32"/>
          <w:highlight w:val="none"/>
          <w:lang w:eastAsia="zh-CN"/>
        </w:rPr>
        <w:t>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增设电梯业主应当委托具备相应资质的施工、监理单位负责工程施工和监理，签订委托施工合同和监理合同，依法履行安全生产主体责任。乡镇（街道）负责具体组织实施辖区内增设电梯的安全生产管理工作，落实辖区增设电梯安全生产全纳管和常态化监管。细化完善辖区增设电梯安全生产管理机制，建立信息登记服务、安全提醒告知、安全宣传警示、日常安全巡查、隐患排查治理等链条清晰、分工明确的工作流程。住建</w:t>
      </w:r>
      <w:r>
        <w:rPr>
          <w:rFonts w:hint="eastAsia" w:ascii="仿宋_GB2312" w:hAnsi="仿宋_GB2312" w:cs="仿宋_GB2312"/>
          <w:color w:val="auto"/>
          <w:kern w:val="0"/>
          <w:sz w:val="32"/>
          <w:szCs w:val="32"/>
          <w:highlight w:val="none"/>
          <w:lang w:eastAsia="zh-CN"/>
        </w:rPr>
        <w:t>局</w:t>
      </w:r>
      <w:r>
        <w:rPr>
          <w:rFonts w:hint="eastAsia" w:ascii="仿宋_GB2312" w:hAnsi="仿宋_GB2312" w:eastAsia="仿宋_GB2312" w:cs="仿宋_GB2312"/>
          <w:color w:val="auto"/>
          <w:kern w:val="0"/>
          <w:sz w:val="32"/>
          <w:szCs w:val="32"/>
          <w:highlight w:val="none"/>
        </w:rPr>
        <w:t>负责协调指导本辖区内既有住宅增设电梯井道和基础工程的安全生产监督管理工作。增设电梯应按照有关法律法规向特种设备检验机构申请电梯安装监督检验，并接受特种设备安全监督管理部门的监督指导。</w:t>
      </w:r>
    </w:p>
    <w:p w14:paraId="4A509517">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第十四条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对增设电梯用地，暂不收取土地出让金或土地使用费，用地面积不计入业主土地使用权范围。因增设电梯而增加的建筑面积由该梯号出资的业主共同所有，不计入业主房产面积范围，增设电梯后增加的建筑面积不进行产权登记，不调整各分户业主的产权面积。房屋征迁时，增设电梯的建筑面积不计入安置面积。</w:t>
      </w:r>
    </w:p>
    <w:p w14:paraId="6BA79B78">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相关房屋所有权发生转移时，与该房屋关联的增设电梯的权利和义务同时转移。</w:t>
      </w:r>
    </w:p>
    <w:p w14:paraId="05D6812B">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w:t>
      </w:r>
      <w:r>
        <w:rPr>
          <w:rFonts w:hint="eastAsia" w:ascii="黑体" w:hAnsi="黑体" w:eastAsia="黑体" w:cs="黑体"/>
          <w:color w:val="auto"/>
          <w:kern w:val="0"/>
          <w:sz w:val="32"/>
          <w:szCs w:val="32"/>
          <w:highlight w:val="none"/>
          <w:lang w:eastAsia="zh-CN"/>
        </w:rPr>
        <w:t>五</w:t>
      </w:r>
      <w:r>
        <w:rPr>
          <w:rFonts w:hint="eastAsia" w:ascii="黑体" w:hAnsi="黑体" w:eastAsia="黑体" w:cs="黑体"/>
          <w:color w:val="auto"/>
          <w:kern w:val="0"/>
          <w:sz w:val="32"/>
          <w:szCs w:val="32"/>
          <w:highlight w:val="none"/>
        </w:rPr>
        <w:t>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业主之间因增设电梯所产生的所有权、相邻权等民事权益争议由业主之间协商解决。街道（乡镇）人民调解委员会、相关行政管理部门应当应业主请求，依照法定职权和程序组织调解，促使相关业主在平等协商基础上自愿达成调解协议。业主之间协商或者调解不成的，可依法通过民事诉讼途径解决。</w:t>
      </w:r>
    </w:p>
    <w:p w14:paraId="22790B3D">
      <w:pPr>
        <w:keepNext w:val="0"/>
        <w:keepLines w:val="0"/>
        <w:pageBreakBefore w:val="0"/>
        <w:widowControl/>
        <w:shd w:val="clear" w:color="auto" w:fill="FFFFFF"/>
        <w:kinsoku/>
        <w:wordWrap/>
        <w:overflowPunct/>
        <w:topLinePunct w:val="0"/>
        <w:autoSpaceDE/>
        <w:autoSpaceDN/>
        <w:bidi w:val="0"/>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w:t>
      </w:r>
      <w:r>
        <w:rPr>
          <w:rFonts w:hint="eastAsia" w:ascii="黑体" w:hAnsi="黑体" w:eastAsia="黑体" w:cs="黑体"/>
          <w:color w:val="auto"/>
          <w:kern w:val="0"/>
          <w:sz w:val="32"/>
          <w:szCs w:val="32"/>
          <w:highlight w:val="none"/>
          <w:lang w:eastAsia="zh-CN"/>
        </w:rPr>
        <w:t>六</w:t>
      </w:r>
      <w:r>
        <w:rPr>
          <w:rFonts w:hint="eastAsia" w:ascii="黑体" w:hAnsi="黑体" w:eastAsia="黑体" w:cs="黑体"/>
          <w:color w:val="auto"/>
          <w:kern w:val="0"/>
          <w:sz w:val="32"/>
          <w:szCs w:val="32"/>
          <w:highlight w:val="none"/>
        </w:rPr>
        <w:t>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既有住宅增设电梯工作是一项涉及千家万户的利民惠民工作，各地要高度重视，加强组织领导，加大宣传力度，结合旧城改造、城市老旧小区改造、危房改造和城市环境综合整治等工作，科学规划、积极有序、持续推进。要充分发挥街道社区工作优势，积极做好政策宣传和相关协调工作，有效化解矛盾。原房改房售房单位、业主委员会、物业服务企业、电梯生产安装企业等应当对既有住宅增设电梯工作予以指导、协助。</w:t>
      </w:r>
    </w:p>
    <w:p w14:paraId="52054C00">
      <w:pPr>
        <w:keepNext w:val="0"/>
        <w:keepLines w:val="0"/>
        <w:pageBreakBefore w:val="0"/>
        <w:widowControl w:val="0"/>
        <w:kinsoku/>
        <w:wordWrap/>
        <w:overflowPunct/>
        <w:topLinePunct w:val="0"/>
        <w:autoSpaceDE/>
        <w:autoSpaceDN/>
        <w:bidi w:val="0"/>
        <w:adjustRightInd w:val="0"/>
        <w:snapToGrid/>
        <w:spacing w:line="53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color w:val="auto"/>
          <w:kern w:val="0"/>
          <w:sz w:val="32"/>
          <w:szCs w:val="32"/>
          <w:highlight w:val="none"/>
        </w:rPr>
        <w:t>第十</w:t>
      </w:r>
      <w:r>
        <w:rPr>
          <w:rFonts w:hint="eastAsia" w:ascii="黑体" w:hAnsi="黑体" w:eastAsia="黑体" w:cs="黑体"/>
          <w:color w:val="auto"/>
          <w:kern w:val="0"/>
          <w:sz w:val="32"/>
          <w:szCs w:val="32"/>
          <w:highlight w:val="none"/>
          <w:lang w:eastAsia="zh-CN"/>
        </w:rPr>
        <w:t>七</w:t>
      </w:r>
      <w:r>
        <w:rPr>
          <w:rFonts w:hint="eastAsia" w:ascii="黑体" w:hAnsi="黑体" w:eastAsia="黑体" w:cs="黑体"/>
          <w:color w:val="auto"/>
          <w:kern w:val="0"/>
          <w:sz w:val="32"/>
          <w:szCs w:val="32"/>
          <w:highlight w:val="none"/>
        </w:rPr>
        <w:t>条</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本办法自印发之日起施行</w:t>
      </w:r>
      <w:r>
        <w:rPr>
          <w:rFonts w:hint="eastAsia" w:ascii="仿宋_GB2312" w:hAnsi="仿宋_GB2312" w:eastAsia="仿宋_GB2312" w:cs="仿宋_GB2312"/>
          <w:color w:val="auto"/>
          <w:kern w:val="0"/>
          <w:sz w:val="32"/>
          <w:szCs w:val="32"/>
          <w:highlight w:val="none"/>
          <w:lang w:eastAsia="zh-CN"/>
        </w:rPr>
        <w:t>，有效期三年</w:t>
      </w:r>
      <w:r>
        <w:rPr>
          <w:rFonts w:hint="eastAsia" w:ascii="仿宋_GB2312" w:hAnsi="仿宋_GB2312" w:eastAsia="仿宋_GB2312" w:cs="仿宋_GB2312"/>
          <w:color w:val="auto"/>
          <w:kern w:val="0"/>
          <w:sz w:val="32"/>
          <w:szCs w:val="32"/>
          <w:highlight w:val="none"/>
        </w:rPr>
        <w:t>。</w:t>
      </w:r>
    </w:p>
    <w:p w14:paraId="02C3893B">
      <w:pPr>
        <w:keepNext w:val="0"/>
        <w:keepLines w:val="0"/>
        <w:pageBreakBefore w:val="0"/>
        <w:widowControl w:val="0"/>
        <w:kinsoku/>
        <w:wordWrap/>
        <w:overflowPunct/>
        <w:topLinePunct w:val="0"/>
        <w:autoSpaceDE/>
        <w:autoSpaceDN/>
        <w:bidi w:val="0"/>
        <w:adjustRightInd w:val="0"/>
        <w:snapToGrid/>
        <w:spacing w:line="530" w:lineRule="exact"/>
        <w:textAlignment w:val="auto"/>
        <w:rPr>
          <w:rFonts w:hint="eastAsia" w:ascii="仿宋_GB2312" w:hAnsi="仿宋_GB2312" w:eastAsia="仿宋_GB2312" w:cs="仿宋_GB2312"/>
          <w:sz w:val="32"/>
          <w:szCs w:val="32"/>
          <w:lang w:eastAsia="zh-CN"/>
        </w:rPr>
      </w:pPr>
    </w:p>
    <w:p w14:paraId="6314746D">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color w:val="auto"/>
          <w:kern w:val="0"/>
          <w:sz w:val="32"/>
          <w:szCs w:val="32"/>
          <w:highlight w:val="none"/>
        </w:rPr>
        <w:t>1.公示范本</w:t>
      </w:r>
    </w:p>
    <w:p w14:paraId="6A54ADC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30" w:lineRule="exact"/>
        <w:ind w:firstLine="1600" w:firstLineChars="5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增设电梯事项听证程序</w:t>
      </w:r>
    </w:p>
    <w:p w14:paraId="426409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30" w:lineRule="exact"/>
        <w:ind w:firstLine="1600" w:firstLineChars="5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3.三明市既有住宅增设电梯住户意见征集表</w:t>
      </w:r>
    </w:p>
    <w:p w14:paraId="13D9DA35">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1600" w:firstLineChars="5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4.三元区既有住宅增设电梯方案联合初审意见表</w:t>
      </w:r>
    </w:p>
    <w:p w14:paraId="711A2B1C">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1600" w:firstLineChars="5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5.既有住宅增设电梯建设工程备案表</w:t>
      </w:r>
    </w:p>
    <w:p w14:paraId="14E33D38">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1600" w:firstLineChars="5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6.特种设备使用登记表</w:t>
      </w:r>
    </w:p>
    <w:p w14:paraId="6AB6E7B2">
      <w:pPr>
        <w:rPr>
          <w:rFonts w:hint="eastAsia" w:ascii="黑体" w:hAnsi="黑体" w:eastAsia="黑体" w:cs="黑体"/>
          <w:b w:val="0"/>
          <w:bCs w:val="0"/>
          <w:sz w:val="34"/>
          <w:szCs w:val="34"/>
        </w:rPr>
      </w:pPr>
      <w:r>
        <w:rPr>
          <w:rFonts w:hint="eastAsia" w:ascii="黑体" w:hAnsi="黑体" w:eastAsia="黑体" w:cs="黑体"/>
          <w:b w:val="0"/>
          <w:bCs w:val="0"/>
          <w:spacing w:val="31"/>
          <w:sz w:val="34"/>
          <w:szCs w:val="34"/>
        </w:rPr>
        <w:br w:type="page"/>
      </w:r>
      <w:r>
        <w:rPr>
          <w:rFonts w:hint="eastAsia" w:ascii="黑体" w:hAnsi="黑体" w:eastAsia="黑体" w:cs="黑体"/>
          <w:b w:val="0"/>
          <w:bCs w:val="0"/>
          <w:spacing w:val="31"/>
          <w:sz w:val="34"/>
          <w:szCs w:val="34"/>
        </w:rPr>
        <w:t>附件1</w:t>
      </w:r>
    </w:p>
    <w:p w14:paraId="36999C05">
      <w:pPr>
        <w:spacing w:before="104" w:line="219" w:lineRule="auto"/>
        <w:jc w:val="center"/>
        <w:rPr>
          <w:rFonts w:hint="eastAsia" w:ascii="仿宋_GB2312" w:hAnsi="仿宋_GB2312" w:eastAsia="仿宋_GB2312" w:cs="仿宋_GB2312"/>
          <w:b/>
          <w:bCs/>
          <w:spacing w:val="-5"/>
          <w:sz w:val="32"/>
          <w:szCs w:val="32"/>
        </w:rPr>
      </w:pPr>
    </w:p>
    <w:p w14:paraId="04A320F8">
      <w:pPr>
        <w:widowControl/>
        <w:shd w:val="clear" w:color="auto" w:fill="FFFFFF"/>
        <w:spacing w:line="560" w:lineRule="exact"/>
        <w:jc w:val="center"/>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公示范本</w:t>
      </w:r>
    </w:p>
    <w:p w14:paraId="03D1A992">
      <w:pPr>
        <w:widowControl/>
        <w:shd w:val="clear" w:color="auto" w:fill="FFFFFF"/>
        <w:spacing w:line="560" w:lineRule="exact"/>
        <w:ind w:firstLine="760"/>
        <w:jc w:val="center"/>
        <w:rPr>
          <w:rFonts w:hint="eastAsia" w:ascii="方正小标宋简体" w:hAnsi="方正小标宋简体" w:eastAsia="方正小标宋简体" w:cs="方正小标宋简体"/>
          <w:b/>
          <w:bCs/>
          <w:color w:val="auto"/>
          <w:kern w:val="0"/>
          <w:sz w:val="44"/>
          <w:szCs w:val="44"/>
          <w:highlight w:val="none"/>
        </w:rPr>
      </w:pPr>
    </w:p>
    <w:p w14:paraId="6DAEB028">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坐落于                                     梯号房屋已经专有部分面积占比（建筑物总面积）三分之二以上的业主且人数占比（总业主人数）三分之二以上的业主参与表决，并经参与表决专有部分面积四分之三以上的业主且参与表决人数四分之三以上的业主同意，将申请办理加装电梯手续，根据有关规定，现予以公示（方案详见附图）。本梯号业主及相关利益人如有不同意见，请您及时与本梯号加装电梯召集人（姓名：    ，房号：  ，联系电话：     ）协商；协商不成的，请以书面形式（写明联系人及联系方式）向       社区居委会（地址：         ；联系电话：     ）反映。公示期10天，自即日起至      年   月   日。</w:t>
      </w:r>
    </w:p>
    <w:p w14:paraId="0AD3F1EC">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备注：业主代表须对增设电梯事项在小区公示栏、增设电梯梯位楼道口以及有可能受影响的利害关系人楼梯入口等显著位置进行公示。公示情况需由属地居委会参与见证，并保存公示的相关证明资料。</w:t>
      </w:r>
    </w:p>
    <w:p w14:paraId="046B3A3A">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sectPr>
          <w:footerReference r:id="rId3" w:type="default"/>
          <w:pgSz w:w="11906" w:h="16838"/>
          <w:pgMar w:top="1474" w:right="1474" w:bottom="1474" w:left="1474" w:header="851" w:footer="992" w:gutter="0"/>
          <w:pgNumType w:fmt="decimal"/>
          <w:cols w:space="720" w:num="1"/>
          <w:docGrid w:type="lines" w:linePitch="312" w:charSpace="0"/>
        </w:sectPr>
      </w:pPr>
      <w:r>
        <w:rPr>
          <w:rFonts w:hint="eastAsia" w:ascii="仿宋_GB2312" w:hAnsi="仿宋_GB2312" w:eastAsia="仿宋_GB2312" w:cs="仿宋_GB2312"/>
          <w:color w:val="auto"/>
          <w:kern w:val="0"/>
          <w:sz w:val="32"/>
          <w:szCs w:val="32"/>
          <w:highlight w:val="none"/>
        </w:rPr>
        <w:t>　　</w:t>
      </w:r>
    </w:p>
    <w:p w14:paraId="47B842FD">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附件2</w:t>
      </w:r>
    </w:p>
    <w:p w14:paraId="38F812CD">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lang w:eastAsia="zh-CN"/>
        </w:rPr>
      </w:pPr>
    </w:p>
    <w:p w14:paraId="33884EA9">
      <w:pPr>
        <w:widowControl/>
        <w:shd w:val="clear" w:color="auto" w:fill="FFFFFF"/>
        <w:spacing w:line="560" w:lineRule="exact"/>
        <w:jc w:val="center"/>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增设电梯事项听证程序</w:t>
      </w:r>
    </w:p>
    <w:p w14:paraId="160F8453">
      <w:pPr>
        <w:widowControl/>
        <w:shd w:val="clear" w:color="auto" w:fill="FFFFFF"/>
        <w:spacing w:line="560" w:lineRule="exact"/>
        <w:ind w:firstLine="641"/>
        <w:jc w:val="center"/>
        <w:rPr>
          <w:rFonts w:hint="eastAsia" w:ascii="方正小标宋简体" w:hAnsi="方正小标宋简体" w:eastAsia="方正小标宋简体" w:cs="方正小标宋简体"/>
          <w:b/>
          <w:bCs/>
          <w:color w:val="auto"/>
          <w:kern w:val="0"/>
          <w:sz w:val="44"/>
          <w:szCs w:val="44"/>
          <w:highlight w:val="none"/>
        </w:rPr>
      </w:pPr>
    </w:p>
    <w:p w14:paraId="3615F10D">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根据《三明市既有住宅增设电梯实施办法》的规定，经协商、协调或调解无法达成一致意见的，由增设电梯业主提请所在地街道办事处召开听证会，听证会按以下程序进行：</w:t>
      </w:r>
    </w:p>
    <w:p w14:paraId="157AC3F3">
      <w:pPr>
        <w:widowControl/>
        <w:shd w:val="clear" w:color="auto" w:fill="FFFFFF"/>
        <w:spacing w:line="560" w:lineRule="exact"/>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　　一、听证会通知</w:t>
      </w:r>
    </w:p>
    <w:p w14:paraId="1C785389">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街道办事处应将听证通知书在举行听证7日前送达增设电梯业主、相关利害关系人、特邀部门及听证会代表。听证通知书应包括以下内容：</w:t>
      </w:r>
    </w:p>
    <w:p w14:paraId="25734B45">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（一）事项的基本情况；</w:t>
      </w:r>
    </w:p>
    <w:p w14:paraId="69BFEC01">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（二）增设电梯业主提供申请材料情况；</w:t>
      </w:r>
    </w:p>
    <w:p w14:paraId="3A01D675">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（三）举行听证会的时间、地点；</w:t>
      </w:r>
    </w:p>
    <w:p w14:paraId="4E6263C0">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（四）听证主持人和记录员的姓名、职务；</w:t>
      </w:r>
    </w:p>
    <w:p w14:paraId="257DE017">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（五）听证当事人的权利和义务；</w:t>
      </w:r>
    </w:p>
    <w:p w14:paraId="7673BC97">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（六）其他注意事项。</w:t>
      </w:r>
    </w:p>
    <w:p w14:paraId="66563A7E">
      <w:pPr>
        <w:widowControl/>
        <w:shd w:val="clear" w:color="auto" w:fill="FFFFFF"/>
        <w:spacing w:line="560" w:lineRule="exact"/>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　　二、听证会参加人员</w:t>
      </w:r>
    </w:p>
    <w:p w14:paraId="4029932A">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（一）听证主持人：     （街道安排）</w:t>
      </w:r>
    </w:p>
    <w:p w14:paraId="2E6D5DBD">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听证员：</w:t>
      </w:r>
    </w:p>
    <w:p w14:paraId="5555ADB3">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记录员：</w:t>
      </w:r>
    </w:p>
    <w:p w14:paraId="477F9953">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（二）增设电梯业主代表：    业主</w:t>
      </w:r>
    </w:p>
    <w:p w14:paraId="549E8AC1">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（三）利害关系人代表：      业主</w:t>
      </w:r>
    </w:p>
    <w:p w14:paraId="4C701E64">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（四）第三人代表：         设计师/项目负责人</w:t>
      </w:r>
    </w:p>
    <w:p w14:paraId="56796AE5">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（五）参会部门：自然资源、住建、消防等部门</w:t>
      </w:r>
    </w:p>
    <w:p w14:paraId="0A1A802E">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（六）听证代表：区人大、区政协、本社区/街道人大代表、本社区/街道政协委员、街道司法所、第三方建筑设计师、施工图审查师等。</w:t>
      </w:r>
    </w:p>
    <w:p w14:paraId="0671B407">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r>
        <w:rPr>
          <w:rFonts w:hint="eastAsia" w:ascii="黑体" w:hAnsi="黑体" w:eastAsia="黑体" w:cs="黑体"/>
          <w:b w:val="0"/>
          <w:bCs w:val="0"/>
          <w:color w:val="auto"/>
          <w:kern w:val="0"/>
          <w:sz w:val="32"/>
          <w:szCs w:val="32"/>
          <w:highlight w:val="none"/>
        </w:rPr>
        <w:t>三、听证会流程</w:t>
      </w:r>
    </w:p>
    <w:p w14:paraId="441A0348">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（一）听证主持人核对听证参加人，宣布听证事由，宣布听证主持人、记录员名单，告知听证参加人在听证中的权利义务，询问听证当事人是否提出回避申请。</w:t>
      </w:r>
    </w:p>
    <w:p w14:paraId="21EAC8A5">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（二）增设电梯业主代表陈述加装电梯事项的基本情况。</w:t>
      </w:r>
    </w:p>
    <w:p w14:paraId="127C9DDD">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（三）利害关系人发表相关意见。</w:t>
      </w:r>
    </w:p>
    <w:p w14:paraId="1C7516D7">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（四）增设电梯业主代表及第三人就利害关系人代表提出的问题进行针对性的说明和解释，参会部门补充。</w:t>
      </w:r>
    </w:p>
    <w:p w14:paraId="2D411E90">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（五）听证辩论。</w:t>
      </w:r>
    </w:p>
    <w:p w14:paraId="3FDD9995">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（六）增设电梯业主和利害关系人发表最后陈述意见。</w:t>
      </w:r>
    </w:p>
    <w:p w14:paraId="6885AE73">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（七）听证代表投票（支持/反对）。</w:t>
      </w:r>
    </w:p>
    <w:p w14:paraId="5084354B">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（八）听证主持人宣布听证会结果。</w:t>
      </w:r>
    </w:p>
    <w:p w14:paraId="3587243A">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r>
        <w:rPr>
          <w:rFonts w:hint="eastAsia" w:ascii="仿宋_GB2312" w:hAnsi="仿宋_GB2312" w:eastAsia="仿宋_GB2312" w:cs="仿宋_GB2312"/>
          <w:b/>
          <w:bCs/>
          <w:color w:val="auto"/>
          <w:kern w:val="0"/>
          <w:sz w:val="32"/>
          <w:szCs w:val="32"/>
          <w:highlight w:val="none"/>
        </w:rPr>
        <w:t>　</w:t>
      </w:r>
      <w:r>
        <w:rPr>
          <w:rFonts w:hint="eastAsia" w:ascii="黑体" w:hAnsi="黑体" w:eastAsia="黑体" w:cs="黑体"/>
          <w:b w:val="0"/>
          <w:bCs w:val="0"/>
          <w:color w:val="auto"/>
          <w:kern w:val="0"/>
          <w:sz w:val="32"/>
          <w:szCs w:val="32"/>
          <w:highlight w:val="none"/>
        </w:rPr>
        <w:t>四、听证报告</w:t>
      </w:r>
    </w:p>
    <w:p w14:paraId="706CEA72">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听证结束后，听证主持人应当根据听证笔录，写出听证报告。听证报告应当包括以下内容：</w:t>
      </w:r>
    </w:p>
    <w:p w14:paraId="57B96D62">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（一）听证事由、时间、地点；</w:t>
      </w:r>
    </w:p>
    <w:p w14:paraId="1F9DB67A">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（二）听证主持人和听证参加人的基本情况；</w:t>
      </w:r>
    </w:p>
    <w:p w14:paraId="4AF73814">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（三）简述听证过程；</w:t>
      </w:r>
    </w:p>
    <w:p w14:paraId="1CD81F7E">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（四）当事人及其委托代理人的陈述意见；</w:t>
      </w:r>
    </w:p>
    <w:p w14:paraId="6DDDFB7B">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highlight w:val="none"/>
        </w:rPr>
        <w:t>（五）听证会代表投票结果。</w:t>
      </w:r>
    </w:p>
    <w:p w14:paraId="633D6181">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p>
    <w:p w14:paraId="2FB063D9">
      <w:pPr>
        <w:rPr>
          <w:rFonts w:hint="eastAsia" w:ascii="黑体" w:hAnsi="黑体" w:eastAsia="黑体" w:cs="黑体"/>
          <w:sz w:val="34"/>
          <w:szCs w:val="34"/>
          <w:lang w:eastAsia="zh-CN"/>
        </w:rPr>
      </w:pPr>
      <w:r>
        <w:rPr>
          <w:rFonts w:hint="eastAsia" w:ascii="黑体" w:hAnsi="黑体" w:eastAsia="黑体" w:cs="黑体"/>
          <w:sz w:val="34"/>
          <w:szCs w:val="34"/>
          <w:lang w:eastAsia="zh-CN"/>
        </w:rPr>
        <w:br w:type="page"/>
      </w:r>
      <w:r>
        <w:rPr>
          <w:rFonts w:hint="eastAsia" w:ascii="黑体" w:hAnsi="黑体" w:eastAsia="黑体" w:cs="黑体"/>
          <w:sz w:val="34"/>
          <w:szCs w:val="34"/>
          <w:lang w:eastAsia="zh-CN"/>
        </w:rPr>
        <w:t>附件</w:t>
      </w:r>
      <w:r>
        <w:rPr>
          <w:rFonts w:hint="eastAsia" w:ascii="黑体" w:hAnsi="黑体" w:eastAsia="黑体" w:cs="黑体"/>
          <w:sz w:val="34"/>
          <w:szCs w:val="34"/>
          <w:lang w:val="en-US" w:eastAsia="zh-CN"/>
        </w:rPr>
        <w:t>3</w:t>
      </w:r>
    </w:p>
    <w:p w14:paraId="605D8D57">
      <w:pPr>
        <w:widowControl/>
        <w:shd w:val="clear" w:color="auto" w:fill="FFFFFF"/>
        <w:spacing w:line="560" w:lineRule="exact"/>
        <w:jc w:val="center"/>
        <w:rPr>
          <w:rFonts w:hint="eastAsia" w:ascii="方正小标宋简体" w:hAnsi="方正小标宋简体" w:eastAsia="方正小标宋简体" w:cs="方正小标宋简体"/>
          <w:b/>
          <w:bCs/>
          <w:color w:val="auto"/>
          <w:kern w:val="0"/>
          <w:sz w:val="44"/>
          <w:szCs w:val="44"/>
          <w:highlight w:val="none"/>
        </w:rPr>
      </w:pPr>
    </w:p>
    <w:p w14:paraId="66323119">
      <w:pPr>
        <w:widowControl/>
        <w:shd w:val="clear" w:color="auto" w:fill="FFFFFF"/>
        <w:spacing w:line="560" w:lineRule="exact"/>
        <w:jc w:val="center"/>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三元区既有住宅增设电梯住户意见征集表</w:t>
      </w:r>
    </w:p>
    <w:p w14:paraId="58B0474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p>
    <w:p w14:paraId="1A6904E9">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三明市三元区                                  （梯/幢号）业主共         户，其中，同意增设电梯业主共      户。现申请办理增设电梯手续（意见征集情况见下表）。签署同意增设电梯意见的业主，同意委托                 （身份证号：                      ）作为项目申办人（单位）。申请业主、受托人郑重承诺：</w:t>
      </w:r>
    </w:p>
    <w:p w14:paraId="73E7D07C">
      <w:pPr>
        <w:keepNext w:val="0"/>
        <w:keepLines w:val="0"/>
        <w:pageBreakBefore w:val="0"/>
        <w:widowControl/>
        <w:shd w:val="clear" w:color="auto" w:fill="FFFFFF"/>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一、所提交的申请资料均真实有效，其中业主签章（含受托人）均为本人自愿签署。如因申请材料不真实引起矛盾纠纷，承诺人愿意自行承担后果，并承担由此产生的一切经济和法律责任。</w:t>
      </w:r>
    </w:p>
    <w:p w14:paraId="253F6D84">
      <w:pPr>
        <w:keepNext w:val="0"/>
        <w:keepLines w:val="0"/>
        <w:pageBreakBefore w:val="0"/>
        <w:widowControl/>
        <w:shd w:val="clear" w:color="auto" w:fill="FFFFFF"/>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二、增设电梯占用土地面积不计入业主土地使用权范围，电梯建筑面积不计入业主房产面积范围。房屋征迁时，增设电梯的建筑面积不计入安置面积。</w:t>
      </w:r>
    </w:p>
    <w:p w14:paraId="2FE942F7">
      <w:pPr>
        <w:keepNext w:val="0"/>
        <w:keepLines w:val="0"/>
        <w:pageBreakBefore w:val="0"/>
        <w:widowControl/>
        <w:shd w:val="clear" w:color="auto" w:fill="FFFFFF"/>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三、其他利害关系人对增设电梯项目提出的权利主张，由业主负责协商解决并承担相关民事法律责任。</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24"/>
        <w:gridCol w:w="1424"/>
        <w:gridCol w:w="1008"/>
        <w:gridCol w:w="2048"/>
        <w:gridCol w:w="2162"/>
        <w:gridCol w:w="1331"/>
      </w:tblGrid>
      <w:tr w14:paraId="1689E8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0" w:hRule="atLeast"/>
          <w:tblCellSpacing w:w="0" w:type="dxa"/>
        </w:trPr>
        <w:tc>
          <w:tcPr>
            <w:tcW w:w="824" w:type="dxa"/>
            <w:tcBorders>
              <w:top w:val="outset" w:color="000000" w:sz="6" w:space="0"/>
              <w:left w:val="outset" w:color="000000" w:sz="6" w:space="0"/>
              <w:bottom w:val="outset" w:color="000000" w:sz="6" w:space="0"/>
              <w:right w:val="outset" w:color="000000" w:sz="6" w:space="0"/>
            </w:tcBorders>
            <w:noWrap w:val="0"/>
            <w:vAlign w:val="center"/>
          </w:tcPr>
          <w:p w14:paraId="3278852E">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房号</w:t>
            </w:r>
          </w:p>
        </w:tc>
        <w:tc>
          <w:tcPr>
            <w:tcW w:w="1424" w:type="dxa"/>
            <w:tcBorders>
              <w:top w:val="outset" w:color="000000" w:sz="6" w:space="0"/>
              <w:left w:val="outset" w:color="000000" w:sz="6" w:space="0"/>
              <w:bottom w:val="outset" w:color="000000" w:sz="6" w:space="0"/>
              <w:right w:val="outset" w:color="000000" w:sz="6" w:space="0"/>
            </w:tcBorders>
            <w:noWrap w:val="0"/>
            <w:vAlign w:val="center"/>
          </w:tcPr>
          <w:p w14:paraId="15BCAA56">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房屋产权人</w:t>
            </w:r>
          </w:p>
          <w:p w14:paraId="7925E6B3">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（签字）</w:t>
            </w:r>
          </w:p>
        </w:tc>
        <w:tc>
          <w:tcPr>
            <w:tcW w:w="1008" w:type="dxa"/>
            <w:tcBorders>
              <w:top w:val="outset" w:color="000000" w:sz="6" w:space="0"/>
              <w:left w:val="outset" w:color="000000" w:sz="6" w:space="0"/>
              <w:bottom w:val="outset" w:color="000000" w:sz="6" w:space="0"/>
              <w:right w:val="outset" w:color="000000" w:sz="6" w:space="0"/>
            </w:tcBorders>
            <w:noWrap w:val="0"/>
            <w:vAlign w:val="center"/>
          </w:tcPr>
          <w:p w14:paraId="1DE4A079">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增设电梯意见</w:t>
            </w:r>
          </w:p>
        </w:tc>
        <w:tc>
          <w:tcPr>
            <w:tcW w:w="2048" w:type="dxa"/>
            <w:tcBorders>
              <w:top w:val="outset" w:color="000000" w:sz="6" w:space="0"/>
              <w:left w:val="outset" w:color="000000" w:sz="6" w:space="0"/>
              <w:bottom w:val="outset" w:color="000000" w:sz="6" w:space="0"/>
              <w:right w:val="outset" w:color="000000" w:sz="6" w:space="0"/>
            </w:tcBorders>
            <w:noWrap w:val="0"/>
            <w:vAlign w:val="center"/>
          </w:tcPr>
          <w:p w14:paraId="7ABC0957">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不动产权证号</w:t>
            </w:r>
          </w:p>
          <w:p w14:paraId="43138BF2">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（或房屋产权证）</w:t>
            </w:r>
          </w:p>
        </w:tc>
        <w:tc>
          <w:tcPr>
            <w:tcW w:w="2162" w:type="dxa"/>
            <w:tcBorders>
              <w:top w:val="outset" w:color="000000" w:sz="6" w:space="0"/>
              <w:left w:val="outset" w:color="000000" w:sz="6" w:space="0"/>
              <w:bottom w:val="outset" w:color="000000" w:sz="6" w:space="0"/>
              <w:right w:val="outset" w:color="000000" w:sz="6" w:space="0"/>
            </w:tcBorders>
            <w:noWrap w:val="0"/>
            <w:vAlign w:val="center"/>
          </w:tcPr>
          <w:p w14:paraId="43B8FFE1">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身份证号码</w:t>
            </w:r>
          </w:p>
        </w:tc>
        <w:tc>
          <w:tcPr>
            <w:tcW w:w="1331" w:type="dxa"/>
            <w:tcBorders>
              <w:top w:val="outset" w:color="000000" w:sz="6" w:space="0"/>
              <w:left w:val="outset" w:color="000000" w:sz="6" w:space="0"/>
              <w:bottom w:val="outset" w:color="000000" w:sz="6" w:space="0"/>
              <w:right w:val="outset" w:color="000000" w:sz="6" w:space="0"/>
            </w:tcBorders>
            <w:noWrap w:val="0"/>
            <w:vAlign w:val="center"/>
          </w:tcPr>
          <w:p w14:paraId="5773438A">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联系电话</w:t>
            </w:r>
          </w:p>
        </w:tc>
      </w:tr>
      <w:tr w14:paraId="63A0C5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trPr>
        <w:tc>
          <w:tcPr>
            <w:tcW w:w="824" w:type="dxa"/>
            <w:tcBorders>
              <w:top w:val="outset" w:color="000000" w:sz="6" w:space="0"/>
              <w:left w:val="outset" w:color="000000" w:sz="6" w:space="0"/>
              <w:bottom w:val="outset" w:color="000000" w:sz="6" w:space="0"/>
              <w:right w:val="outset" w:color="000000" w:sz="6" w:space="0"/>
            </w:tcBorders>
            <w:noWrap w:val="0"/>
            <w:vAlign w:val="center"/>
          </w:tcPr>
          <w:p w14:paraId="0F06EFB6">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424" w:type="dxa"/>
            <w:tcBorders>
              <w:top w:val="outset" w:color="000000" w:sz="6" w:space="0"/>
              <w:left w:val="outset" w:color="000000" w:sz="6" w:space="0"/>
              <w:bottom w:val="outset" w:color="000000" w:sz="6" w:space="0"/>
              <w:right w:val="outset" w:color="000000" w:sz="6" w:space="0"/>
            </w:tcBorders>
            <w:noWrap w:val="0"/>
            <w:vAlign w:val="center"/>
          </w:tcPr>
          <w:p w14:paraId="7675132F">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008" w:type="dxa"/>
            <w:tcBorders>
              <w:top w:val="outset" w:color="000000" w:sz="6" w:space="0"/>
              <w:left w:val="outset" w:color="000000" w:sz="6" w:space="0"/>
              <w:bottom w:val="outset" w:color="000000" w:sz="6" w:space="0"/>
              <w:right w:val="outset" w:color="000000" w:sz="6" w:space="0"/>
            </w:tcBorders>
            <w:noWrap w:val="0"/>
            <w:vAlign w:val="center"/>
          </w:tcPr>
          <w:p w14:paraId="45F969B3">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048" w:type="dxa"/>
            <w:tcBorders>
              <w:top w:val="outset" w:color="000000" w:sz="6" w:space="0"/>
              <w:left w:val="outset" w:color="000000" w:sz="6" w:space="0"/>
              <w:bottom w:val="outset" w:color="000000" w:sz="6" w:space="0"/>
              <w:right w:val="outset" w:color="000000" w:sz="6" w:space="0"/>
            </w:tcBorders>
            <w:noWrap w:val="0"/>
            <w:vAlign w:val="center"/>
          </w:tcPr>
          <w:p w14:paraId="3A2A3F8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62" w:type="dxa"/>
            <w:tcBorders>
              <w:top w:val="outset" w:color="000000" w:sz="6" w:space="0"/>
              <w:left w:val="outset" w:color="000000" w:sz="6" w:space="0"/>
              <w:bottom w:val="outset" w:color="000000" w:sz="6" w:space="0"/>
              <w:right w:val="outset" w:color="000000" w:sz="6" w:space="0"/>
            </w:tcBorders>
            <w:noWrap w:val="0"/>
            <w:vAlign w:val="center"/>
          </w:tcPr>
          <w:p w14:paraId="4CD574A1">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331" w:type="dxa"/>
            <w:tcBorders>
              <w:top w:val="outset" w:color="000000" w:sz="6" w:space="0"/>
              <w:left w:val="outset" w:color="000000" w:sz="6" w:space="0"/>
              <w:bottom w:val="outset" w:color="000000" w:sz="6" w:space="0"/>
              <w:right w:val="outset" w:color="000000" w:sz="6" w:space="0"/>
            </w:tcBorders>
            <w:noWrap w:val="0"/>
            <w:vAlign w:val="center"/>
          </w:tcPr>
          <w:p w14:paraId="6D566B36">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6C18E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trPr>
        <w:tc>
          <w:tcPr>
            <w:tcW w:w="824" w:type="dxa"/>
            <w:tcBorders>
              <w:top w:val="outset" w:color="000000" w:sz="6" w:space="0"/>
              <w:left w:val="outset" w:color="000000" w:sz="6" w:space="0"/>
              <w:bottom w:val="outset" w:color="000000" w:sz="6" w:space="0"/>
              <w:right w:val="outset" w:color="000000" w:sz="6" w:space="0"/>
            </w:tcBorders>
            <w:noWrap w:val="0"/>
            <w:vAlign w:val="center"/>
          </w:tcPr>
          <w:p w14:paraId="0046D151">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424" w:type="dxa"/>
            <w:tcBorders>
              <w:top w:val="outset" w:color="000000" w:sz="6" w:space="0"/>
              <w:left w:val="outset" w:color="000000" w:sz="6" w:space="0"/>
              <w:bottom w:val="outset" w:color="000000" w:sz="6" w:space="0"/>
              <w:right w:val="outset" w:color="000000" w:sz="6" w:space="0"/>
            </w:tcBorders>
            <w:noWrap w:val="0"/>
            <w:vAlign w:val="center"/>
          </w:tcPr>
          <w:p w14:paraId="13011E0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008" w:type="dxa"/>
            <w:tcBorders>
              <w:top w:val="outset" w:color="000000" w:sz="6" w:space="0"/>
              <w:left w:val="outset" w:color="000000" w:sz="6" w:space="0"/>
              <w:bottom w:val="outset" w:color="000000" w:sz="6" w:space="0"/>
              <w:right w:val="outset" w:color="000000" w:sz="6" w:space="0"/>
            </w:tcBorders>
            <w:noWrap w:val="0"/>
            <w:vAlign w:val="center"/>
          </w:tcPr>
          <w:p w14:paraId="6BCD7B40">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048" w:type="dxa"/>
            <w:tcBorders>
              <w:top w:val="outset" w:color="000000" w:sz="6" w:space="0"/>
              <w:left w:val="outset" w:color="000000" w:sz="6" w:space="0"/>
              <w:bottom w:val="outset" w:color="000000" w:sz="6" w:space="0"/>
              <w:right w:val="outset" w:color="000000" w:sz="6" w:space="0"/>
            </w:tcBorders>
            <w:noWrap w:val="0"/>
            <w:vAlign w:val="center"/>
          </w:tcPr>
          <w:p w14:paraId="5023E0B3">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62" w:type="dxa"/>
            <w:tcBorders>
              <w:top w:val="outset" w:color="000000" w:sz="6" w:space="0"/>
              <w:left w:val="outset" w:color="000000" w:sz="6" w:space="0"/>
              <w:bottom w:val="outset" w:color="000000" w:sz="6" w:space="0"/>
              <w:right w:val="outset" w:color="000000" w:sz="6" w:space="0"/>
            </w:tcBorders>
            <w:noWrap w:val="0"/>
            <w:vAlign w:val="center"/>
          </w:tcPr>
          <w:p w14:paraId="0F718A84">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331" w:type="dxa"/>
            <w:tcBorders>
              <w:top w:val="outset" w:color="000000" w:sz="6" w:space="0"/>
              <w:left w:val="outset" w:color="000000" w:sz="6" w:space="0"/>
              <w:bottom w:val="outset" w:color="000000" w:sz="6" w:space="0"/>
              <w:right w:val="outset" w:color="000000" w:sz="6" w:space="0"/>
            </w:tcBorders>
            <w:noWrap w:val="0"/>
            <w:vAlign w:val="center"/>
          </w:tcPr>
          <w:p w14:paraId="04BE72C6">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1D013F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trPr>
        <w:tc>
          <w:tcPr>
            <w:tcW w:w="824" w:type="dxa"/>
            <w:tcBorders>
              <w:top w:val="outset" w:color="000000" w:sz="6" w:space="0"/>
              <w:left w:val="outset" w:color="000000" w:sz="6" w:space="0"/>
              <w:bottom w:val="outset" w:color="000000" w:sz="6" w:space="0"/>
              <w:right w:val="outset" w:color="000000" w:sz="6" w:space="0"/>
            </w:tcBorders>
            <w:noWrap w:val="0"/>
            <w:vAlign w:val="center"/>
          </w:tcPr>
          <w:p w14:paraId="46F9B8D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424" w:type="dxa"/>
            <w:tcBorders>
              <w:top w:val="outset" w:color="000000" w:sz="6" w:space="0"/>
              <w:left w:val="outset" w:color="000000" w:sz="6" w:space="0"/>
              <w:bottom w:val="outset" w:color="000000" w:sz="6" w:space="0"/>
              <w:right w:val="outset" w:color="000000" w:sz="6" w:space="0"/>
            </w:tcBorders>
            <w:noWrap w:val="0"/>
            <w:vAlign w:val="center"/>
          </w:tcPr>
          <w:p w14:paraId="41067663">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008" w:type="dxa"/>
            <w:tcBorders>
              <w:top w:val="outset" w:color="000000" w:sz="6" w:space="0"/>
              <w:left w:val="outset" w:color="000000" w:sz="6" w:space="0"/>
              <w:bottom w:val="outset" w:color="000000" w:sz="6" w:space="0"/>
              <w:right w:val="outset" w:color="000000" w:sz="6" w:space="0"/>
            </w:tcBorders>
            <w:noWrap w:val="0"/>
            <w:vAlign w:val="center"/>
          </w:tcPr>
          <w:p w14:paraId="6CED7C6E">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048" w:type="dxa"/>
            <w:tcBorders>
              <w:top w:val="outset" w:color="000000" w:sz="6" w:space="0"/>
              <w:left w:val="outset" w:color="000000" w:sz="6" w:space="0"/>
              <w:bottom w:val="outset" w:color="000000" w:sz="6" w:space="0"/>
              <w:right w:val="outset" w:color="000000" w:sz="6" w:space="0"/>
            </w:tcBorders>
            <w:noWrap w:val="0"/>
            <w:vAlign w:val="center"/>
          </w:tcPr>
          <w:p w14:paraId="68CD7B54">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62" w:type="dxa"/>
            <w:tcBorders>
              <w:top w:val="outset" w:color="000000" w:sz="6" w:space="0"/>
              <w:left w:val="outset" w:color="000000" w:sz="6" w:space="0"/>
              <w:bottom w:val="outset" w:color="000000" w:sz="6" w:space="0"/>
              <w:right w:val="outset" w:color="000000" w:sz="6" w:space="0"/>
            </w:tcBorders>
            <w:noWrap w:val="0"/>
            <w:vAlign w:val="center"/>
          </w:tcPr>
          <w:p w14:paraId="3ED8FC0D">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331" w:type="dxa"/>
            <w:tcBorders>
              <w:top w:val="outset" w:color="000000" w:sz="6" w:space="0"/>
              <w:left w:val="outset" w:color="000000" w:sz="6" w:space="0"/>
              <w:bottom w:val="outset" w:color="000000" w:sz="6" w:space="0"/>
              <w:right w:val="outset" w:color="000000" w:sz="6" w:space="0"/>
            </w:tcBorders>
            <w:noWrap w:val="0"/>
            <w:vAlign w:val="center"/>
          </w:tcPr>
          <w:p w14:paraId="5DEBC8B3">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19EDED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trPr>
        <w:tc>
          <w:tcPr>
            <w:tcW w:w="824" w:type="dxa"/>
            <w:tcBorders>
              <w:top w:val="outset" w:color="000000" w:sz="6" w:space="0"/>
              <w:left w:val="outset" w:color="000000" w:sz="6" w:space="0"/>
              <w:bottom w:val="outset" w:color="000000" w:sz="6" w:space="0"/>
              <w:right w:val="outset" w:color="000000" w:sz="6" w:space="0"/>
            </w:tcBorders>
            <w:noWrap w:val="0"/>
            <w:vAlign w:val="center"/>
          </w:tcPr>
          <w:p w14:paraId="21F8891C">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424" w:type="dxa"/>
            <w:tcBorders>
              <w:top w:val="outset" w:color="000000" w:sz="6" w:space="0"/>
              <w:left w:val="outset" w:color="000000" w:sz="6" w:space="0"/>
              <w:bottom w:val="outset" w:color="000000" w:sz="6" w:space="0"/>
              <w:right w:val="outset" w:color="000000" w:sz="6" w:space="0"/>
            </w:tcBorders>
            <w:noWrap w:val="0"/>
            <w:vAlign w:val="center"/>
          </w:tcPr>
          <w:p w14:paraId="4807986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008" w:type="dxa"/>
            <w:tcBorders>
              <w:top w:val="outset" w:color="000000" w:sz="6" w:space="0"/>
              <w:left w:val="outset" w:color="000000" w:sz="6" w:space="0"/>
              <w:bottom w:val="outset" w:color="000000" w:sz="6" w:space="0"/>
              <w:right w:val="outset" w:color="000000" w:sz="6" w:space="0"/>
            </w:tcBorders>
            <w:noWrap w:val="0"/>
            <w:vAlign w:val="center"/>
          </w:tcPr>
          <w:p w14:paraId="1018993E">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048" w:type="dxa"/>
            <w:tcBorders>
              <w:top w:val="outset" w:color="000000" w:sz="6" w:space="0"/>
              <w:left w:val="outset" w:color="000000" w:sz="6" w:space="0"/>
              <w:bottom w:val="outset" w:color="000000" w:sz="6" w:space="0"/>
              <w:right w:val="outset" w:color="000000" w:sz="6" w:space="0"/>
            </w:tcBorders>
            <w:noWrap w:val="0"/>
            <w:vAlign w:val="center"/>
          </w:tcPr>
          <w:p w14:paraId="229F7BD9">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62" w:type="dxa"/>
            <w:tcBorders>
              <w:top w:val="outset" w:color="000000" w:sz="6" w:space="0"/>
              <w:left w:val="outset" w:color="000000" w:sz="6" w:space="0"/>
              <w:bottom w:val="outset" w:color="000000" w:sz="6" w:space="0"/>
              <w:right w:val="outset" w:color="000000" w:sz="6" w:space="0"/>
            </w:tcBorders>
            <w:noWrap w:val="0"/>
            <w:vAlign w:val="center"/>
          </w:tcPr>
          <w:p w14:paraId="149E3C1C">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1331" w:type="dxa"/>
            <w:tcBorders>
              <w:top w:val="outset" w:color="000000" w:sz="6" w:space="0"/>
              <w:left w:val="outset" w:color="000000" w:sz="6" w:space="0"/>
              <w:bottom w:val="outset" w:color="000000" w:sz="6" w:space="0"/>
              <w:right w:val="outset" w:color="000000" w:sz="6" w:space="0"/>
            </w:tcBorders>
            <w:noWrap w:val="0"/>
            <w:vAlign w:val="center"/>
          </w:tcPr>
          <w:p w14:paraId="302A57E4">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bl>
    <w:p w14:paraId="4E31F4B6">
      <w:pPr>
        <w:rPr>
          <w:rFonts w:hint="default" w:ascii="黑体" w:hAnsi="黑体" w:eastAsia="黑体" w:cs="黑体"/>
          <w:sz w:val="34"/>
          <w:szCs w:val="34"/>
          <w:lang w:val="en-US" w:eastAsia="zh-CN"/>
        </w:rPr>
      </w:pPr>
      <w:r>
        <w:rPr>
          <w:rFonts w:hint="eastAsia" w:ascii="黑体" w:hAnsi="黑体" w:eastAsia="黑体" w:cs="黑体"/>
          <w:sz w:val="34"/>
          <w:szCs w:val="34"/>
          <w:lang w:eastAsia="zh-CN"/>
        </w:rPr>
        <w:t>附件</w:t>
      </w:r>
      <w:r>
        <w:rPr>
          <w:rFonts w:hint="eastAsia" w:ascii="黑体" w:hAnsi="黑体" w:eastAsia="黑体" w:cs="黑体"/>
          <w:sz w:val="34"/>
          <w:szCs w:val="34"/>
          <w:lang w:val="en-US" w:eastAsia="zh-CN"/>
        </w:rPr>
        <w:t>4</w:t>
      </w:r>
    </w:p>
    <w:p w14:paraId="57A0DE76">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lang w:eastAsia="zh-CN"/>
        </w:rPr>
      </w:pPr>
    </w:p>
    <w:p w14:paraId="58D15BC0">
      <w:pPr>
        <w:spacing w:before="101" w:line="420" w:lineRule="exact"/>
        <w:ind w:firstLine="430" w:firstLineChars="100"/>
        <w:rPr>
          <w:rFonts w:ascii="黑体" w:hAnsi="黑体" w:eastAsia="黑体" w:cs="黑体"/>
          <w:color w:val="auto"/>
          <w:spacing w:val="-6"/>
          <w:position w:val="1"/>
          <w:sz w:val="44"/>
          <w:szCs w:val="44"/>
          <w:highlight w:val="none"/>
        </w:rPr>
      </w:pPr>
      <w:r>
        <w:rPr>
          <w:rFonts w:hint="eastAsia" w:ascii="方正小标宋简体" w:hAnsi="方正小标宋简体" w:eastAsia="方正小标宋简体" w:cs="方正小标宋简体"/>
          <w:color w:val="auto"/>
          <w:spacing w:val="-5"/>
          <w:sz w:val="44"/>
          <w:szCs w:val="44"/>
          <w:highlight w:val="none"/>
        </w:rPr>
        <w:t>三元区既有住宅增设电梯方案联合初审意见表</w:t>
      </w:r>
    </w:p>
    <w:p w14:paraId="7DE45698">
      <w:pPr>
        <w:spacing w:before="101" w:line="420" w:lineRule="exact"/>
        <w:ind w:left="20"/>
        <w:rPr>
          <w:rFonts w:hint="eastAsia" w:ascii="黑体" w:hAnsi="黑体" w:eastAsia="黑体" w:cs="黑体"/>
          <w:color w:val="auto"/>
          <w:spacing w:val="-6"/>
          <w:position w:val="1"/>
          <w:sz w:val="31"/>
          <w:szCs w:val="31"/>
          <w:highlight w:val="non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2377"/>
        <w:gridCol w:w="1769"/>
        <w:gridCol w:w="2374"/>
      </w:tblGrid>
      <w:tr w14:paraId="1030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noWrap w:val="0"/>
            <w:vAlign w:val="top"/>
          </w:tcPr>
          <w:p w14:paraId="2B238693">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小区名称</w:t>
            </w:r>
          </w:p>
        </w:tc>
        <w:tc>
          <w:tcPr>
            <w:tcW w:w="6520" w:type="dxa"/>
            <w:gridSpan w:val="3"/>
            <w:noWrap w:val="0"/>
            <w:vAlign w:val="top"/>
          </w:tcPr>
          <w:p w14:paraId="3CC3C0FA">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p>
        </w:tc>
      </w:tr>
      <w:tr w14:paraId="1CA4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noWrap w:val="0"/>
            <w:vAlign w:val="top"/>
          </w:tcPr>
          <w:p w14:paraId="21D4E675">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项目地址</w:t>
            </w:r>
          </w:p>
        </w:tc>
        <w:tc>
          <w:tcPr>
            <w:tcW w:w="6520" w:type="dxa"/>
            <w:gridSpan w:val="3"/>
            <w:noWrap w:val="0"/>
            <w:vAlign w:val="top"/>
          </w:tcPr>
          <w:p w14:paraId="68A9B424">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p>
        </w:tc>
      </w:tr>
      <w:tr w14:paraId="7EE4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noWrap w:val="0"/>
            <w:vAlign w:val="top"/>
          </w:tcPr>
          <w:p w14:paraId="1FFCA729">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小区面积</w:t>
            </w:r>
          </w:p>
        </w:tc>
        <w:tc>
          <w:tcPr>
            <w:tcW w:w="2377" w:type="dxa"/>
            <w:noWrap w:val="0"/>
            <w:vAlign w:val="top"/>
          </w:tcPr>
          <w:p w14:paraId="1401115B">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p>
        </w:tc>
        <w:tc>
          <w:tcPr>
            <w:tcW w:w="1769" w:type="dxa"/>
            <w:noWrap w:val="0"/>
            <w:vAlign w:val="top"/>
          </w:tcPr>
          <w:p w14:paraId="66436478">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居民户数</w:t>
            </w:r>
          </w:p>
        </w:tc>
        <w:tc>
          <w:tcPr>
            <w:tcW w:w="2374" w:type="dxa"/>
            <w:noWrap w:val="0"/>
            <w:vAlign w:val="top"/>
          </w:tcPr>
          <w:p w14:paraId="1BDFDE07">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p>
        </w:tc>
      </w:tr>
      <w:tr w14:paraId="1BBB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2" w:type="dxa"/>
            <w:noWrap w:val="0"/>
            <w:vAlign w:val="top"/>
          </w:tcPr>
          <w:p w14:paraId="4D2731A5">
            <w:pPr>
              <w:spacing w:before="95" w:line="266" w:lineRule="auto"/>
              <w:ind w:right="193" w:firstLine="272" w:firstLineChars="100"/>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业主代表</w:t>
            </w:r>
          </w:p>
        </w:tc>
        <w:tc>
          <w:tcPr>
            <w:tcW w:w="2377" w:type="dxa"/>
            <w:noWrap w:val="0"/>
            <w:vAlign w:val="top"/>
          </w:tcPr>
          <w:p w14:paraId="505B0000">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p>
        </w:tc>
        <w:tc>
          <w:tcPr>
            <w:tcW w:w="1769" w:type="dxa"/>
            <w:noWrap w:val="0"/>
            <w:vAlign w:val="top"/>
          </w:tcPr>
          <w:p w14:paraId="4F1455E8">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联系电话</w:t>
            </w:r>
          </w:p>
        </w:tc>
        <w:tc>
          <w:tcPr>
            <w:tcW w:w="2374" w:type="dxa"/>
            <w:noWrap w:val="0"/>
            <w:vAlign w:val="top"/>
          </w:tcPr>
          <w:p w14:paraId="5F9E6E38">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p>
        </w:tc>
      </w:tr>
      <w:tr w14:paraId="5CC6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2002" w:type="dxa"/>
            <w:noWrap w:val="0"/>
            <w:vAlign w:val="top"/>
          </w:tcPr>
          <w:p w14:paraId="2B2DA855">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拟建电梯</w:t>
            </w:r>
          </w:p>
          <w:p w14:paraId="10F00099">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基本情况</w:t>
            </w:r>
          </w:p>
        </w:tc>
        <w:tc>
          <w:tcPr>
            <w:tcW w:w="6520" w:type="dxa"/>
            <w:gridSpan w:val="3"/>
            <w:noWrap w:val="0"/>
            <w:vAlign w:val="top"/>
          </w:tcPr>
          <w:p w14:paraId="799ABB05">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p>
        </w:tc>
      </w:tr>
      <w:tr w14:paraId="5E82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noWrap w:val="0"/>
            <w:vAlign w:val="top"/>
          </w:tcPr>
          <w:p w14:paraId="20DBB738">
            <w:pPr>
              <w:spacing w:before="95" w:line="266" w:lineRule="auto"/>
              <w:ind w:right="193"/>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自然资源局意见</w:t>
            </w:r>
          </w:p>
        </w:tc>
        <w:tc>
          <w:tcPr>
            <w:tcW w:w="6520" w:type="dxa"/>
            <w:gridSpan w:val="3"/>
            <w:noWrap w:val="0"/>
            <w:vAlign w:val="top"/>
          </w:tcPr>
          <w:p w14:paraId="048D295F">
            <w:pPr>
              <w:spacing w:before="100" w:line="600" w:lineRule="exact"/>
              <w:ind w:right="139"/>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spacing w:val="6"/>
                <w:sz w:val="31"/>
                <w:szCs w:val="31"/>
                <w:highlight w:val="none"/>
              </w:rPr>
              <w:t xml:space="preserve">              </w:t>
            </w:r>
            <w:r>
              <w:rPr>
                <w:rFonts w:hint="eastAsia" w:ascii="仿宋_GB2312" w:hAnsi="仿宋_GB2312" w:eastAsia="仿宋_GB2312" w:cs="仿宋_GB2312"/>
                <w:color w:val="auto"/>
                <w:spacing w:val="6"/>
                <w:sz w:val="28"/>
                <w:szCs w:val="28"/>
                <w:highlight w:val="none"/>
              </w:rPr>
              <w:t xml:space="preserve">  盖章</w:t>
            </w:r>
          </w:p>
          <w:p w14:paraId="6DB34BE9">
            <w:pPr>
              <w:spacing w:before="100" w:line="600" w:lineRule="exact"/>
              <w:ind w:right="139" w:firstLine="3504" w:firstLineChars="1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sz w:val="28"/>
                <w:szCs w:val="28"/>
                <w:highlight w:val="none"/>
              </w:rPr>
              <w:t>年 月 日</w:t>
            </w:r>
          </w:p>
        </w:tc>
      </w:tr>
      <w:tr w14:paraId="3266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002" w:type="dxa"/>
            <w:noWrap w:val="0"/>
            <w:vAlign w:val="top"/>
          </w:tcPr>
          <w:p w14:paraId="0313E696">
            <w:pPr>
              <w:spacing w:before="95" w:line="266" w:lineRule="auto"/>
              <w:ind w:right="193"/>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u w:val="single"/>
                <w:lang w:eastAsia="zh-CN"/>
              </w:rPr>
              <w:t>综合</w:t>
            </w:r>
            <w:r>
              <w:rPr>
                <w:rFonts w:hint="eastAsia" w:ascii="仿宋_GB2312" w:hAnsi="仿宋_GB2312" w:eastAsia="仿宋_GB2312" w:cs="仿宋_GB2312"/>
                <w:color w:val="auto"/>
                <w:spacing w:val="-4"/>
                <w:sz w:val="28"/>
                <w:szCs w:val="28"/>
                <w:highlight w:val="none"/>
              </w:rPr>
              <w:t>执法局意见</w:t>
            </w:r>
          </w:p>
        </w:tc>
        <w:tc>
          <w:tcPr>
            <w:tcW w:w="6520" w:type="dxa"/>
            <w:gridSpan w:val="3"/>
            <w:noWrap w:val="0"/>
            <w:vAlign w:val="top"/>
          </w:tcPr>
          <w:p w14:paraId="70BF116C">
            <w:pPr>
              <w:spacing w:before="100" w:line="600" w:lineRule="exact"/>
              <w:ind w:right="139" w:firstLine="3504" w:firstLineChars="1200"/>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rPr>
              <w:t xml:space="preserve"> 盖章</w:t>
            </w:r>
          </w:p>
          <w:p w14:paraId="0098D523">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6"/>
                <w:sz w:val="28"/>
                <w:szCs w:val="28"/>
                <w:highlight w:val="none"/>
              </w:rPr>
              <w:t xml:space="preserve">           年 月 日</w:t>
            </w:r>
          </w:p>
        </w:tc>
      </w:tr>
      <w:tr w14:paraId="4482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2" w:type="dxa"/>
            <w:noWrap w:val="0"/>
            <w:vAlign w:val="top"/>
          </w:tcPr>
          <w:p w14:paraId="6B4D983B">
            <w:pPr>
              <w:spacing w:before="95" w:line="266" w:lineRule="auto"/>
              <w:ind w:right="193"/>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住建局</w:t>
            </w:r>
          </w:p>
          <w:p w14:paraId="0017FE8F">
            <w:pPr>
              <w:spacing w:before="95" w:line="266" w:lineRule="auto"/>
              <w:ind w:right="193"/>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意见</w:t>
            </w:r>
          </w:p>
        </w:tc>
        <w:tc>
          <w:tcPr>
            <w:tcW w:w="6520" w:type="dxa"/>
            <w:gridSpan w:val="3"/>
            <w:noWrap w:val="0"/>
            <w:vAlign w:val="top"/>
          </w:tcPr>
          <w:p w14:paraId="2E1F273B">
            <w:pPr>
              <w:spacing w:before="100" w:line="600" w:lineRule="exact"/>
              <w:ind w:left="2" w:right="139" w:firstLine="646"/>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spacing w:val="6"/>
                <w:sz w:val="31"/>
                <w:szCs w:val="31"/>
                <w:highlight w:val="none"/>
              </w:rPr>
              <w:t xml:space="preserve">     </w:t>
            </w:r>
            <w:r>
              <w:rPr>
                <w:rFonts w:hint="eastAsia" w:ascii="仿宋_GB2312" w:hAnsi="仿宋_GB2312" w:eastAsia="仿宋_GB2312" w:cs="仿宋_GB2312"/>
                <w:color w:val="auto"/>
                <w:spacing w:val="6"/>
                <w:sz w:val="28"/>
                <w:szCs w:val="28"/>
                <w:highlight w:val="none"/>
              </w:rPr>
              <w:t xml:space="preserve"> 盖章</w:t>
            </w:r>
          </w:p>
          <w:p w14:paraId="371F36E6">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6"/>
                <w:sz w:val="28"/>
                <w:szCs w:val="28"/>
                <w:highlight w:val="none"/>
              </w:rPr>
              <w:t xml:space="preserve">          年 月 日</w:t>
            </w:r>
          </w:p>
        </w:tc>
      </w:tr>
      <w:tr w14:paraId="6A6A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02" w:type="dxa"/>
            <w:noWrap w:val="0"/>
            <w:vAlign w:val="top"/>
          </w:tcPr>
          <w:p w14:paraId="667F5808">
            <w:pPr>
              <w:spacing w:before="95" w:line="266" w:lineRule="auto"/>
              <w:ind w:right="193"/>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街道（乡、镇）意见</w:t>
            </w:r>
          </w:p>
        </w:tc>
        <w:tc>
          <w:tcPr>
            <w:tcW w:w="6520" w:type="dxa"/>
            <w:gridSpan w:val="3"/>
            <w:noWrap w:val="0"/>
            <w:vAlign w:val="top"/>
          </w:tcPr>
          <w:p w14:paraId="1D209565">
            <w:pPr>
              <w:spacing w:before="100" w:line="600" w:lineRule="exact"/>
              <w:ind w:right="139" w:firstLine="3504" w:firstLineChars="1200"/>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rPr>
              <w:t xml:space="preserve"> 盖章</w:t>
            </w:r>
          </w:p>
          <w:p w14:paraId="160F6883">
            <w:pPr>
              <w:spacing w:before="95" w:line="266" w:lineRule="auto"/>
              <w:ind w:left="324" w:right="193" w:hanging="118"/>
              <w:jc w:val="center"/>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6"/>
                <w:sz w:val="28"/>
                <w:szCs w:val="28"/>
                <w:highlight w:val="none"/>
              </w:rPr>
              <w:t xml:space="preserve">           年 月 日</w:t>
            </w:r>
          </w:p>
        </w:tc>
      </w:tr>
    </w:tbl>
    <w:p w14:paraId="5DB68678">
      <w:pPr>
        <w:rPr>
          <w:rFonts w:hint="eastAsia" w:ascii="黑体" w:hAnsi="黑体" w:eastAsia="黑体" w:cs="黑体"/>
          <w:sz w:val="34"/>
          <w:szCs w:val="34"/>
          <w:lang w:val="en-US" w:eastAsia="zh-CN"/>
        </w:rPr>
      </w:pPr>
      <w:r>
        <w:rPr>
          <w:rFonts w:hint="eastAsia" w:ascii="黑体" w:hAnsi="黑体" w:eastAsia="黑体" w:cs="黑体"/>
          <w:sz w:val="34"/>
          <w:szCs w:val="34"/>
          <w:lang w:eastAsia="zh-CN"/>
        </w:rPr>
        <w:br w:type="page"/>
      </w:r>
      <w:r>
        <w:rPr>
          <w:rFonts w:hint="eastAsia" w:ascii="黑体" w:hAnsi="黑体" w:eastAsia="黑体" w:cs="黑体"/>
          <w:sz w:val="34"/>
          <w:szCs w:val="34"/>
          <w:lang w:eastAsia="zh-CN"/>
        </w:rPr>
        <w:t>附件</w:t>
      </w:r>
      <w:r>
        <w:rPr>
          <w:rFonts w:hint="eastAsia" w:ascii="黑体" w:hAnsi="黑体" w:eastAsia="黑体" w:cs="黑体"/>
          <w:sz w:val="34"/>
          <w:szCs w:val="34"/>
          <w:lang w:val="en-US" w:eastAsia="zh-CN"/>
        </w:rPr>
        <w:t>5</w:t>
      </w:r>
    </w:p>
    <w:p w14:paraId="347BD7FB">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黑体" w:hAnsi="黑体" w:eastAsia="黑体" w:cs="黑体"/>
          <w:sz w:val="34"/>
          <w:szCs w:val="34"/>
          <w:lang w:val="en-US" w:eastAsia="zh-CN"/>
        </w:rPr>
      </w:pPr>
    </w:p>
    <w:p w14:paraId="640CCB16">
      <w:pPr>
        <w:widowControl/>
        <w:shd w:val="clear" w:color="auto" w:fill="FFFFFF"/>
        <w:spacing w:line="560" w:lineRule="exact"/>
        <w:jc w:val="center"/>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既有住宅增设电梯建设工程备案表</w:t>
      </w:r>
    </w:p>
    <w:tbl>
      <w:tblPr>
        <w:tblStyle w:val="4"/>
        <w:tblpPr w:leftFromText="180" w:rightFromText="180" w:vertAnchor="text" w:horzAnchor="page" w:tblpX="1409" w:tblpY="539"/>
        <w:tblOverlap w:val="never"/>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0"/>
        <w:gridCol w:w="1527"/>
        <w:gridCol w:w="3532"/>
        <w:gridCol w:w="3301"/>
      </w:tblGrid>
      <w:tr w14:paraId="7D1847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restart"/>
            <w:tcBorders>
              <w:top w:val="outset" w:color="000000" w:sz="6" w:space="0"/>
              <w:left w:val="outset" w:color="000000" w:sz="6" w:space="0"/>
              <w:bottom w:val="outset" w:color="000000" w:sz="6" w:space="0"/>
              <w:right w:val="outset" w:color="000000" w:sz="6" w:space="0"/>
            </w:tcBorders>
            <w:noWrap w:val="0"/>
            <w:vAlign w:val="center"/>
          </w:tcPr>
          <w:p w14:paraId="48EFD625">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工程基本情况</w:t>
            </w: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2400AF09">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工程座落</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5A6106C0">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 </w:t>
            </w:r>
          </w:p>
        </w:tc>
      </w:tr>
      <w:tr w14:paraId="108CBB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continue"/>
            <w:tcBorders>
              <w:top w:val="outset" w:color="000000" w:sz="6" w:space="0"/>
              <w:left w:val="outset" w:color="000000" w:sz="6" w:space="0"/>
              <w:bottom w:val="outset" w:color="000000" w:sz="6" w:space="0"/>
              <w:right w:val="outset" w:color="000000" w:sz="6" w:space="0"/>
            </w:tcBorders>
            <w:noWrap w:val="0"/>
            <w:vAlign w:val="center"/>
          </w:tcPr>
          <w:p w14:paraId="60C813C6">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280395FF">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业主代表及受托方联系人</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58DA3E21">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 </w:t>
            </w:r>
          </w:p>
        </w:tc>
      </w:tr>
      <w:tr w14:paraId="5E50C0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continue"/>
            <w:tcBorders>
              <w:top w:val="outset" w:color="000000" w:sz="6" w:space="0"/>
              <w:left w:val="outset" w:color="000000" w:sz="6" w:space="0"/>
              <w:bottom w:val="outset" w:color="000000" w:sz="6" w:space="0"/>
              <w:right w:val="outset" w:color="000000" w:sz="6" w:space="0"/>
            </w:tcBorders>
            <w:noWrap w:val="0"/>
            <w:vAlign w:val="center"/>
          </w:tcPr>
          <w:p w14:paraId="2FAD4A6A">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7C87AAC8">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增设电梯</w:t>
            </w:r>
          </w:p>
          <w:p w14:paraId="031E3F83">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位    置</w:t>
            </w:r>
          </w:p>
        </w:tc>
        <w:tc>
          <w:tcPr>
            <w:tcW w:w="3532" w:type="dxa"/>
            <w:tcBorders>
              <w:top w:val="outset" w:color="000000" w:sz="6" w:space="0"/>
              <w:left w:val="outset" w:color="000000" w:sz="6" w:space="0"/>
              <w:bottom w:val="outset" w:color="000000" w:sz="6" w:space="0"/>
              <w:right w:val="outset" w:color="000000" w:sz="6" w:space="0"/>
            </w:tcBorders>
            <w:noWrap w:val="0"/>
            <w:vAlign w:val="top"/>
          </w:tcPr>
          <w:p w14:paraId="20F0DD4D">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sym w:font="Wingdings 2" w:char="00A3"/>
            </w:r>
            <w:r>
              <w:rPr>
                <w:rFonts w:hint="eastAsia" w:ascii="仿宋_GB2312" w:hAnsi="仿宋_GB2312" w:eastAsia="仿宋_GB2312" w:cs="仿宋_GB2312"/>
                <w:b w:val="0"/>
                <w:bCs w:val="0"/>
                <w:color w:val="auto"/>
                <w:kern w:val="0"/>
                <w:sz w:val="32"/>
                <w:szCs w:val="32"/>
                <w:highlight w:val="none"/>
              </w:rPr>
              <w:t>按《既有住宅增设电梯统一布点设计方案》</w:t>
            </w:r>
          </w:p>
          <w:p w14:paraId="72D638CB">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布置</w:t>
            </w:r>
          </w:p>
        </w:tc>
        <w:tc>
          <w:tcPr>
            <w:tcW w:w="3301" w:type="dxa"/>
            <w:tcBorders>
              <w:top w:val="outset" w:color="000000" w:sz="6" w:space="0"/>
              <w:left w:val="outset" w:color="000000" w:sz="6" w:space="0"/>
              <w:bottom w:val="outset" w:color="000000" w:sz="6" w:space="0"/>
              <w:right w:val="outset" w:color="000000" w:sz="6" w:space="0"/>
            </w:tcBorders>
            <w:noWrap w:val="0"/>
            <w:vAlign w:val="top"/>
          </w:tcPr>
          <w:p w14:paraId="0C87CBBB">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sym w:font="Wingdings 2" w:char="00A3"/>
            </w:r>
            <w:r>
              <w:rPr>
                <w:rFonts w:hint="eastAsia" w:ascii="仿宋_GB2312" w:hAnsi="仿宋_GB2312" w:eastAsia="仿宋_GB2312" w:cs="仿宋_GB2312"/>
                <w:b w:val="0"/>
                <w:bCs w:val="0"/>
                <w:color w:val="auto"/>
                <w:kern w:val="0"/>
                <w:sz w:val="32"/>
                <w:szCs w:val="32"/>
                <w:highlight w:val="none"/>
              </w:rPr>
              <w:t>业主自行委托设计</w:t>
            </w:r>
          </w:p>
        </w:tc>
      </w:tr>
      <w:tr w14:paraId="0AF0B9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continue"/>
            <w:tcBorders>
              <w:top w:val="outset" w:color="000000" w:sz="6" w:space="0"/>
              <w:left w:val="outset" w:color="000000" w:sz="6" w:space="0"/>
              <w:bottom w:val="outset" w:color="000000" w:sz="6" w:space="0"/>
              <w:right w:val="outset" w:color="000000" w:sz="6" w:space="0"/>
            </w:tcBorders>
            <w:noWrap w:val="0"/>
            <w:vAlign w:val="center"/>
          </w:tcPr>
          <w:p w14:paraId="6F1EDF5A">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2588AC3E">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 xml:space="preserve">房屋安全鉴定单位   </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427149BC">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 </w:t>
            </w:r>
          </w:p>
        </w:tc>
      </w:tr>
      <w:tr w14:paraId="35C7FB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continue"/>
            <w:tcBorders>
              <w:top w:val="outset" w:color="000000" w:sz="6" w:space="0"/>
              <w:left w:val="outset" w:color="000000" w:sz="6" w:space="0"/>
              <w:bottom w:val="outset" w:color="000000" w:sz="6" w:space="0"/>
              <w:right w:val="outset" w:color="000000" w:sz="6" w:space="0"/>
            </w:tcBorders>
            <w:noWrap w:val="0"/>
            <w:vAlign w:val="center"/>
          </w:tcPr>
          <w:p w14:paraId="336F908E">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155F9203">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设计单位及负责人</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7D8116CE">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r>
      <w:tr w14:paraId="614B93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restart"/>
            <w:tcBorders>
              <w:top w:val="outset" w:color="000000" w:sz="6" w:space="0"/>
              <w:left w:val="outset" w:color="000000" w:sz="6" w:space="0"/>
              <w:bottom w:val="outset" w:color="000000" w:sz="6" w:space="0"/>
              <w:right w:val="outset" w:color="000000" w:sz="6" w:space="0"/>
            </w:tcBorders>
            <w:noWrap w:val="0"/>
            <w:vAlign w:val="center"/>
          </w:tcPr>
          <w:p w14:paraId="266B8D93">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公示情况</w:t>
            </w: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093BF519">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方案公示时间、位置</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482F515D">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 </w:t>
            </w:r>
          </w:p>
        </w:tc>
      </w:tr>
      <w:tr w14:paraId="3DEC7F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continue"/>
            <w:tcBorders>
              <w:top w:val="outset" w:color="000000" w:sz="6" w:space="0"/>
              <w:left w:val="outset" w:color="000000" w:sz="6" w:space="0"/>
              <w:bottom w:val="outset" w:color="000000" w:sz="6" w:space="0"/>
              <w:right w:val="outset" w:color="000000" w:sz="6" w:space="0"/>
            </w:tcBorders>
            <w:noWrap w:val="0"/>
            <w:vAlign w:val="center"/>
          </w:tcPr>
          <w:p w14:paraId="582475F6">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13CA205A">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公示期内异议情况</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03BD4459">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 </w:t>
            </w:r>
          </w:p>
        </w:tc>
      </w:tr>
      <w:tr w14:paraId="1CB829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continue"/>
            <w:tcBorders>
              <w:top w:val="outset" w:color="000000" w:sz="6" w:space="0"/>
              <w:left w:val="outset" w:color="000000" w:sz="6" w:space="0"/>
              <w:bottom w:val="outset" w:color="000000" w:sz="6" w:space="0"/>
              <w:right w:val="outset" w:color="000000" w:sz="6" w:space="0"/>
            </w:tcBorders>
            <w:noWrap w:val="0"/>
            <w:vAlign w:val="center"/>
          </w:tcPr>
          <w:p w14:paraId="73E8A725">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7B74CAE2">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协调会</w:t>
            </w:r>
          </w:p>
          <w:p w14:paraId="2A8BC2D7">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召开情况</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1CC1D79E">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 </w:t>
            </w:r>
          </w:p>
        </w:tc>
      </w:tr>
      <w:tr w14:paraId="02C7CE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continue"/>
            <w:tcBorders>
              <w:top w:val="outset" w:color="000000" w:sz="6" w:space="0"/>
              <w:left w:val="outset" w:color="000000" w:sz="6" w:space="0"/>
              <w:bottom w:val="outset" w:color="000000" w:sz="6" w:space="0"/>
              <w:right w:val="outset" w:color="000000" w:sz="6" w:space="0"/>
            </w:tcBorders>
            <w:noWrap w:val="0"/>
            <w:vAlign w:val="center"/>
          </w:tcPr>
          <w:p w14:paraId="08A56D18">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6928DF8A">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居 委 会</w:t>
            </w:r>
          </w:p>
          <w:p w14:paraId="7B262A80">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意    见</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1E82805E">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同意上报复核。</w:t>
            </w:r>
          </w:p>
          <w:p w14:paraId="45CAFFE6">
            <w:pPr>
              <w:widowControl/>
              <w:spacing w:line="560" w:lineRule="exact"/>
              <w:jc w:val="righ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（签章）                 </w:t>
            </w:r>
          </w:p>
          <w:p w14:paraId="76112465">
            <w:pPr>
              <w:widowControl/>
              <w:spacing w:line="560" w:lineRule="exact"/>
              <w:jc w:val="righ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年   月   日</w:t>
            </w:r>
          </w:p>
        </w:tc>
      </w:tr>
      <w:tr w14:paraId="53D43A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restart"/>
            <w:tcBorders>
              <w:top w:val="outset" w:color="000000" w:sz="6" w:space="0"/>
              <w:left w:val="outset" w:color="000000" w:sz="6" w:space="0"/>
              <w:bottom w:val="outset" w:color="000000" w:sz="6" w:space="0"/>
              <w:right w:val="outset" w:color="000000" w:sz="6" w:space="0"/>
            </w:tcBorders>
            <w:noWrap w:val="0"/>
            <w:vAlign w:val="center"/>
          </w:tcPr>
          <w:p w14:paraId="7AB97EDA">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听证及申请人资格复核情况</w:t>
            </w: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40697EB8">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听证会召开情况及</w:t>
            </w:r>
          </w:p>
          <w:p w14:paraId="639A325C">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听证意见</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25DB4DB0">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 </w:t>
            </w:r>
          </w:p>
        </w:tc>
      </w:tr>
      <w:tr w14:paraId="5F2B03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vMerge w:val="continue"/>
            <w:tcBorders>
              <w:top w:val="outset" w:color="000000" w:sz="6" w:space="0"/>
              <w:left w:val="outset" w:color="000000" w:sz="6" w:space="0"/>
              <w:bottom w:val="outset" w:color="000000" w:sz="6" w:space="0"/>
              <w:right w:val="outset" w:color="000000" w:sz="6" w:space="0"/>
            </w:tcBorders>
            <w:noWrap w:val="0"/>
            <w:vAlign w:val="center"/>
          </w:tcPr>
          <w:p w14:paraId="5CA327FA">
            <w:pPr>
              <w:widowControl/>
              <w:spacing w:line="560" w:lineRule="exact"/>
              <w:jc w:val="left"/>
              <w:rPr>
                <w:rFonts w:hint="eastAsia" w:ascii="仿宋_GB2312" w:hAnsi="仿宋_GB2312" w:eastAsia="仿宋_GB2312" w:cs="仿宋_GB2312"/>
                <w:b w:val="0"/>
                <w:bCs w:val="0"/>
                <w:color w:val="auto"/>
                <w:kern w:val="0"/>
                <w:sz w:val="32"/>
                <w:szCs w:val="32"/>
                <w:highlight w:val="none"/>
              </w:rPr>
            </w:pPr>
          </w:p>
        </w:tc>
        <w:tc>
          <w:tcPr>
            <w:tcW w:w="1527" w:type="dxa"/>
            <w:tcBorders>
              <w:top w:val="outset" w:color="000000" w:sz="6" w:space="0"/>
              <w:left w:val="outset" w:color="000000" w:sz="6" w:space="0"/>
              <w:bottom w:val="outset" w:color="000000" w:sz="6" w:space="0"/>
              <w:right w:val="outset" w:color="000000" w:sz="6" w:space="0"/>
            </w:tcBorders>
            <w:noWrap w:val="0"/>
            <w:vAlign w:val="center"/>
          </w:tcPr>
          <w:p w14:paraId="456C1AAB">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街 道 办</w:t>
            </w:r>
          </w:p>
          <w:p w14:paraId="08D5280A">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复核意见</w:t>
            </w:r>
          </w:p>
        </w:tc>
        <w:tc>
          <w:tcPr>
            <w:tcW w:w="6833" w:type="dxa"/>
            <w:gridSpan w:val="2"/>
            <w:tcBorders>
              <w:top w:val="outset" w:color="000000" w:sz="6" w:space="0"/>
              <w:left w:val="outset" w:color="000000" w:sz="6" w:space="0"/>
              <w:bottom w:val="outset" w:color="000000" w:sz="6" w:space="0"/>
              <w:right w:val="outset" w:color="000000" w:sz="6" w:space="0"/>
            </w:tcBorders>
            <w:noWrap w:val="0"/>
            <w:vAlign w:val="top"/>
          </w:tcPr>
          <w:p w14:paraId="1A9233A2">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申请人资格符合要求，同意报请备案。</w:t>
            </w:r>
          </w:p>
          <w:p w14:paraId="175128A7">
            <w:pPr>
              <w:widowControl/>
              <w:spacing w:line="560" w:lineRule="exact"/>
              <w:jc w:val="righ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（签章）                 </w:t>
            </w:r>
          </w:p>
          <w:p w14:paraId="0A7B75AF">
            <w:pPr>
              <w:widowControl/>
              <w:spacing w:line="560" w:lineRule="exact"/>
              <w:jc w:val="righ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年   月   日</w:t>
            </w:r>
          </w:p>
        </w:tc>
      </w:tr>
      <w:tr w14:paraId="2D3F33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tcBorders>
              <w:top w:val="outset" w:color="000000" w:sz="6" w:space="0"/>
              <w:left w:val="outset" w:color="000000" w:sz="6" w:space="0"/>
              <w:bottom w:val="outset" w:color="000000" w:sz="6" w:space="0"/>
              <w:right w:val="outset" w:color="000000" w:sz="6" w:space="0"/>
            </w:tcBorders>
            <w:noWrap w:val="0"/>
            <w:vAlign w:val="center"/>
          </w:tcPr>
          <w:p w14:paraId="6535F31D">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规划备案意见</w:t>
            </w:r>
          </w:p>
        </w:tc>
        <w:tc>
          <w:tcPr>
            <w:tcW w:w="8360" w:type="dxa"/>
            <w:gridSpan w:val="3"/>
            <w:tcBorders>
              <w:top w:val="outset" w:color="000000" w:sz="6" w:space="0"/>
              <w:left w:val="outset" w:color="000000" w:sz="6" w:space="0"/>
              <w:bottom w:val="outset" w:color="000000" w:sz="6" w:space="0"/>
              <w:right w:val="outset" w:color="000000" w:sz="6" w:space="0"/>
            </w:tcBorders>
            <w:noWrap w:val="0"/>
            <w:vAlign w:val="top"/>
          </w:tcPr>
          <w:p w14:paraId="25217C9B">
            <w:pPr>
              <w:widowControl/>
              <w:spacing w:line="560" w:lineRule="exact"/>
              <w:jc w:val="righ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（签章）                 </w:t>
            </w:r>
          </w:p>
          <w:p w14:paraId="78EB08D7">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年   月   日</w:t>
            </w:r>
          </w:p>
        </w:tc>
      </w:tr>
      <w:tr w14:paraId="065AC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40" w:type="dxa"/>
            <w:tcBorders>
              <w:top w:val="outset" w:color="000000" w:sz="6" w:space="0"/>
              <w:left w:val="outset" w:color="000000" w:sz="6" w:space="0"/>
              <w:bottom w:val="outset" w:color="000000" w:sz="6" w:space="0"/>
              <w:right w:val="outset" w:color="000000" w:sz="6" w:space="0"/>
            </w:tcBorders>
            <w:noWrap w:val="0"/>
            <w:vAlign w:val="center"/>
          </w:tcPr>
          <w:p w14:paraId="6D46DCC8">
            <w:pPr>
              <w:widowControl/>
              <w:spacing w:line="560" w:lineRule="exact"/>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施工备案意见</w:t>
            </w:r>
          </w:p>
        </w:tc>
        <w:tc>
          <w:tcPr>
            <w:tcW w:w="8360" w:type="dxa"/>
            <w:gridSpan w:val="3"/>
            <w:tcBorders>
              <w:top w:val="outset" w:color="000000" w:sz="6" w:space="0"/>
              <w:left w:val="outset" w:color="000000" w:sz="6" w:space="0"/>
              <w:bottom w:val="outset" w:color="000000" w:sz="6" w:space="0"/>
              <w:right w:val="outset" w:color="000000" w:sz="6" w:space="0"/>
            </w:tcBorders>
            <w:noWrap w:val="0"/>
            <w:vAlign w:val="top"/>
          </w:tcPr>
          <w:p w14:paraId="6D5582EE">
            <w:pPr>
              <w:widowControl/>
              <w:spacing w:line="560" w:lineRule="exact"/>
              <w:jc w:val="righ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（签章）                 </w:t>
            </w:r>
          </w:p>
          <w:p w14:paraId="1F25A77E">
            <w:pPr>
              <w:widowControl/>
              <w:spacing w:line="560" w:lineRule="exact"/>
              <w:jc w:val="left"/>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年   月   日</w:t>
            </w:r>
          </w:p>
        </w:tc>
      </w:tr>
    </w:tbl>
    <w:p w14:paraId="38545068">
      <w:pPr>
        <w:widowControl/>
        <w:shd w:val="clear" w:color="auto" w:fill="FFFFFF"/>
        <w:spacing w:line="560" w:lineRule="exact"/>
        <w:ind w:firstLine="761"/>
        <w:jc w:val="center"/>
        <w:rPr>
          <w:rFonts w:hint="eastAsia" w:ascii="方正小标宋简体" w:hAnsi="方正小标宋简体" w:eastAsia="方正小标宋简体" w:cs="方正小标宋简体"/>
          <w:b/>
          <w:bCs/>
          <w:color w:val="auto"/>
          <w:kern w:val="0"/>
          <w:sz w:val="44"/>
          <w:szCs w:val="44"/>
          <w:highlight w:val="none"/>
        </w:rPr>
      </w:pPr>
    </w:p>
    <w:p w14:paraId="43E4CF46">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sectPr>
          <w:pgSz w:w="11906" w:h="16838"/>
          <w:pgMar w:top="1418" w:right="1418" w:bottom="1418" w:left="1418" w:header="851" w:footer="992" w:gutter="0"/>
          <w:pgNumType w:fmt="decimal"/>
          <w:cols w:space="720" w:num="1"/>
          <w:docGrid w:type="lines" w:linePitch="312" w:charSpace="0"/>
        </w:sectPr>
      </w:pPr>
      <w:r>
        <w:rPr>
          <w:rFonts w:hint="eastAsia" w:ascii="仿宋_GB2312" w:hAnsi="仿宋_GB2312" w:eastAsia="仿宋_GB2312" w:cs="仿宋_GB2312"/>
          <w:color w:val="auto"/>
          <w:kern w:val="0"/>
          <w:sz w:val="32"/>
          <w:szCs w:val="32"/>
          <w:highlight w:val="none"/>
        </w:rPr>
        <w:t>　　</w:t>
      </w:r>
    </w:p>
    <w:p w14:paraId="417ADF7C">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eastAsia="zh-CN"/>
        </w:rPr>
        <w:t>附件</w:t>
      </w:r>
      <w:r>
        <w:rPr>
          <w:rFonts w:hint="eastAsia" w:ascii="黑体" w:hAnsi="黑体" w:eastAsia="黑体" w:cs="黑体"/>
          <w:sz w:val="34"/>
          <w:szCs w:val="34"/>
          <w:lang w:val="en-US" w:eastAsia="zh-CN"/>
        </w:rPr>
        <w:t>6</w:t>
      </w:r>
    </w:p>
    <w:p w14:paraId="1B019E24">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黑体" w:hAnsi="黑体" w:eastAsia="黑体" w:cs="黑体"/>
          <w:sz w:val="34"/>
          <w:szCs w:val="34"/>
          <w:lang w:val="en-US" w:eastAsia="zh-CN"/>
        </w:rPr>
      </w:pPr>
    </w:p>
    <w:p w14:paraId="1168B83E">
      <w:pPr>
        <w:widowControl/>
        <w:shd w:val="clear" w:color="auto" w:fill="FFFFFF"/>
        <w:spacing w:line="560" w:lineRule="exact"/>
        <w:jc w:val="center"/>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特种设备使用登记表</w:t>
      </w:r>
    </w:p>
    <w:p w14:paraId="55B33DA0">
      <w:pPr>
        <w:widowControl/>
        <w:shd w:val="clear" w:color="auto" w:fill="FFFFFF"/>
        <w:spacing w:line="560" w:lineRule="exact"/>
        <w:ind w:firstLine="880"/>
        <w:jc w:val="center"/>
        <w:rPr>
          <w:rFonts w:hint="eastAsia" w:ascii="方正小标宋简体" w:hAnsi="方正小标宋简体" w:eastAsia="方正小标宋简体" w:cs="方正小标宋简体"/>
          <w:b/>
          <w:bCs/>
          <w:color w:val="auto"/>
          <w:kern w:val="0"/>
          <w:sz w:val="44"/>
          <w:szCs w:val="44"/>
          <w:highlight w:val="none"/>
        </w:rPr>
      </w:pPr>
    </w:p>
    <w:p w14:paraId="0098B32A">
      <w:pPr>
        <w:widowControl/>
        <w:shd w:val="clear" w:color="auto" w:fill="FFFFFF"/>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登记类别：</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0"/>
        <w:gridCol w:w="2150"/>
        <w:gridCol w:w="2235"/>
        <w:gridCol w:w="44"/>
        <w:gridCol w:w="2060"/>
        <w:gridCol w:w="45"/>
        <w:gridCol w:w="1666"/>
      </w:tblGrid>
      <w:tr w14:paraId="64BB7D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restart"/>
            <w:tcBorders>
              <w:top w:val="outset" w:color="000000" w:sz="6" w:space="0"/>
              <w:left w:val="outset" w:color="000000" w:sz="6" w:space="0"/>
              <w:bottom w:val="outset" w:color="000000" w:sz="6" w:space="0"/>
              <w:right w:val="outset" w:color="000000" w:sz="6" w:space="0"/>
            </w:tcBorders>
            <w:noWrap w:val="0"/>
            <w:vAlign w:val="center"/>
          </w:tcPr>
          <w:p w14:paraId="10F76C89">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设备基本情况</w:t>
            </w: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4FDE06EC">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设备种类</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7C4FF5C0">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07090741">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设备类别</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6110A1DE">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2163D8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62493A70">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2EE1019D">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设备品种</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7F323FE1">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2D8F1689">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产品名称</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3B30BC11">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1A8A4F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658B7AF2">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2E85BFB8">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设备代码</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1972B2A6">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4CAD1EA5">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型号(规格)</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524C048D">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19A584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2FBE6F07">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439C4081">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设计使用年限</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321C8B8B">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468BB1AC">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设计单位名称</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6A21B3C2">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225713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3F30C727">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450BFAD6">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制造单位名称</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2731951E">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0A554729">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施工单位名称</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4AA36BD7">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0798AE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4905F7B6">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56B41963">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监督检验机构名称</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04AA7B05">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41532B5A">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型式试验机构名称</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2C48687A">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7A4EC2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restart"/>
            <w:tcBorders>
              <w:top w:val="outset" w:color="000000" w:sz="6" w:space="0"/>
              <w:left w:val="outset" w:color="000000" w:sz="6" w:space="0"/>
              <w:bottom w:val="outset" w:color="000000" w:sz="6" w:space="0"/>
              <w:right w:val="outset" w:color="000000" w:sz="6" w:space="0"/>
            </w:tcBorders>
            <w:noWrap w:val="0"/>
            <w:vAlign w:val="center"/>
          </w:tcPr>
          <w:p w14:paraId="1D496CE8">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设备使用情况</w:t>
            </w: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66B0666F">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使用单位名称</w:t>
            </w:r>
          </w:p>
        </w:tc>
        <w:tc>
          <w:tcPr>
            <w:tcW w:w="6050" w:type="dxa"/>
            <w:gridSpan w:val="5"/>
            <w:tcBorders>
              <w:top w:val="outset" w:color="000000" w:sz="6" w:space="0"/>
              <w:left w:val="outset" w:color="000000" w:sz="6" w:space="0"/>
              <w:bottom w:val="outset" w:color="000000" w:sz="6" w:space="0"/>
              <w:right w:val="outset" w:color="000000" w:sz="6" w:space="0"/>
            </w:tcBorders>
            <w:noWrap w:val="0"/>
            <w:vAlign w:val="center"/>
          </w:tcPr>
          <w:p w14:paraId="5D4F2052">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76C1B1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35246352">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78AD0333">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使用单位地址</w:t>
            </w:r>
          </w:p>
        </w:tc>
        <w:tc>
          <w:tcPr>
            <w:tcW w:w="6050" w:type="dxa"/>
            <w:gridSpan w:val="5"/>
            <w:tcBorders>
              <w:top w:val="outset" w:color="000000" w:sz="6" w:space="0"/>
              <w:left w:val="outset" w:color="000000" w:sz="6" w:space="0"/>
              <w:bottom w:val="outset" w:color="000000" w:sz="6" w:space="0"/>
              <w:right w:val="outset" w:color="000000" w:sz="6" w:space="0"/>
            </w:tcBorders>
            <w:noWrap w:val="0"/>
            <w:vAlign w:val="center"/>
          </w:tcPr>
          <w:p w14:paraId="50309A53">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5C2E14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7313C2DF">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7CC937C7">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使用单位统一社会</w:t>
            </w:r>
          </w:p>
          <w:p w14:paraId="41620031">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信用代码</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7566DE65">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0EE5CED9">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邮政编码</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0711181E">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279A43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38B1341A">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5D10E2DC">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单位内编号</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5DB39FA5">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22BD76DE">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设备使用地点</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3FD8CBBF">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03E804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57995B15">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566DD17B">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投入使用日期</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5DC266A5">
            <w:pPr>
              <w:widowControl/>
              <w:spacing w:line="560" w:lineRule="exact"/>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年  月  日</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6C9F2346">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单位固定电话</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405E535A">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00A75C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134874C1">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45034755">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安全管理员</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35E422F2">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075D2378">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移动电话</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5126E8D4">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618E56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77ECD557">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069B4FD7">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产权单位名称</w:t>
            </w:r>
          </w:p>
        </w:tc>
        <w:tc>
          <w:tcPr>
            <w:tcW w:w="6050" w:type="dxa"/>
            <w:gridSpan w:val="5"/>
            <w:tcBorders>
              <w:top w:val="outset" w:color="000000" w:sz="6" w:space="0"/>
              <w:left w:val="outset" w:color="000000" w:sz="6" w:space="0"/>
              <w:bottom w:val="outset" w:color="000000" w:sz="6" w:space="0"/>
              <w:right w:val="outset" w:color="000000" w:sz="6" w:space="0"/>
            </w:tcBorders>
            <w:noWrap w:val="0"/>
            <w:vAlign w:val="center"/>
          </w:tcPr>
          <w:p w14:paraId="1CDD011F">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2FB614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014FB92E">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17FD9EC4">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产权单位统一社会</w:t>
            </w:r>
          </w:p>
          <w:p w14:paraId="69477971">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信用代码</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2AFB11FB">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279C2357">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联系电话</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1DA1E6E5">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493FDD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4EDA9BDB">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7AAAEFAE">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单位性质</w:t>
            </w:r>
          </w:p>
        </w:tc>
        <w:tc>
          <w:tcPr>
            <w:tcW w:w="2235" w:type="dxa"/>
            <w:tcBorders>
              <w:top w:val="outset" w:color="000000" w:sz="6" w:space="0"/>
              <w:left w:val="outset" w:color="000000" w:sz="6" w:space="0"/>
              <w:bottom w:val="outset" w:color="000000" w:sz="6" w:space="0"/>
              <w:right w:val="outset" w:color="000000" w:sz="6" w:space="0"/>
            </w:tcBorders>
            <w:noWrap w:val="0"/>
            <w:vAlign w:val="center"/>
          </w:tcPr>
          <w:p w14:paraId="0497C3A3">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149" w:type="dxa"/>
            <w:gridSpan w:val="3"/>
            <w:tcBorders>
              <w:top w:val="outset" w:color="000000" w:sz="6" w:space="0"/>
              <w:left w:val="outset" w:color="000000" w:sz="6" w:space="0"/>
              <w:bottom w:val="outset" w:color="000000" w:sz="6" w:space="0"/>
              <w:right w:val="outset" w:color="000000" w:sz="6" w:space="0"/>
            </w:tcBorders>
            <w:noWrap w:val="0"/>
            <w:vAlign w:val="center"/>
          </w:tcPr>
          <w:p w14:paraId="1651AA14">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所属行业</w:t>
            </w:r>
          </w:p>
        </w:tc>
        <w:tc>
          <w:tcPr>
            <w:tcW w:w="1666" w:type="dxa"/>
            <w:tcBorders>
              <w:top w:val="outset" w:color="000000" w:sz="6" w:space="0"/>
              <w:left w:val="outset" w:color="000000" w:sz="6" w:space="0"/>
              <w:bottom w:val="outset" w:color="000000" w:sz="6" w:space="0"/>
              <w:right w:val="outset" w:color="000000" w:sz="6" w:space="0"/>
            </w:tcBorders>
            <w:noWrap w:val="0"/>
            <w:vAlign w:val="center"/>
          </w:tcPr>
          <w:p w14:paraId="55D4AF33">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18A19A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900" w:type="dxa"/>
            <w:vMerge w:val="restart"/>
            <w:tcBorders>
              <w:top w:val="outset" w:color="000000" w:sz="6" w:space="0"/>
              <w:left w:val="outset" w:color="000000" w:sz="6" w:space="0"/>
              <w:bottom w:val="outset" w:color="000000" w:sz="6" w:space="0"/>
              <w:right w:val="outset" w:color="000000" w:sz="6" w:space="0"/>
            </w:tcBorders>
            <w:noWrap w:val="0"/>
            <w:vAlign w:val="center"/>
          </w:tcPr>
          <w:p w14:paraId="75054C4B">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设备检验情况</w:t>
            </w: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3BD286F9">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检验机构名称</w:t>
            </w:r>
          </w:p>
        </w:tc>
        <w:tc>
          <w:tcPr>
            <w:tcW w:w="6050" w:type="dxa"/>
            <w:gridSpan w:val="5"/>
            <w:tcBorders>
              <w:top w:val="outset" w:color="000000" w:sz="6" w:space="0"/>
              <w:left w:val="outset" w:color="000000" w:sz="6" w:space="0"/>
              <w:bottom w:val="outset" w:color="000000" w:sz="6" w:space="0"/>
              <w:right w:val="outset" w:color="000000" w:sz="6" w:space="0"/>
            </w:tcBorders>
            <w:noWrap w:val="0"/>
            <w:vAlign w:val="center"/>
          </w:tcPr>
          <w:p w14:paraId="48F74B82">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60310A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0FAD1A80">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021E5E24">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检验类别</w:t>
            </w:r>
          </w:p>
        </w:tc>
        <w:tc>
          <w:tcPr>
            <w:tcW w:w="2279" w:type="dxa"/>
            <w:gridSpan w:val="2"/>
            <w:tcBorders>
              <w:top w:val="outset" w:color="000000" w:sz="6" w:space="0"/>
              <w:left w:val="outset" w:color="000000" w:sz="6" w:space="0"/>
              <w:bottom w:val="outset" w:color="000000" w:sz="6" w:space="0"/>
              <w:right w:val="outset" w:color="000000" w:sz="6" w:space="0"/>
            </w:tcBorders>
            <w:noWrap w:val="0"/>
            <w:vAlign w:val="center"/>
          </w:tcPr>
          <w:p w14:paraId="6D096D5D">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060" w:type="dxa"/>
            <w:tcBorders>
              <w:top w:val="outset" w:color="000000" w:sz="6" w:space="0"/>
              <w:left w:val="outset" w:color="000000" w:sz="6" w:space="0"/>
              <w:bottom w:val="outset" w:color="000000" w:sz="6" w:space="0"/>
              <w:right w:val="outset" w:color="000000" w:sz="6" w:space="0"/>
            </w:tcBorders>
            <w:noWrap w:val="0"/>
            <w:vAlign w:val="center"/>
          </w:tcPr>
          <w:p w14:paraId="2536F4F9">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检验报告编号</w:t>
            </w:r>
          </w:p>
        </w:tc>
        <w:tc>
          <w:tcPr>
            <w:tcW w:w="1711" w:type="dxa"/>
            <w:gridSpan w:val="2"/>
            <w:tcBorders>
              <w:top w:val="outset" w:color="000000" w:sz="6" w:space="0"/>
              <w:left w:val="outset" w:color="000000" w:sz="6" w:space="0"/>
              <w:bottom w:val="outset" w:color="000000" w:sz="6" w:space="0"/>
              <w:right w:val="outset" w:color="000000" w:sz="6" w:space="0"/>
            </w:tcBorders>
            <w:noWrap w:val="0"/>
            <w:vAlign w:val="center"/>
          </w:tcPr>
          <w:p w14:paraId="31A6BE31">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08E42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729E3CCA">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593A85BB">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检验日期</w:t>
            </w:r>
          </w:p>
        </w:tc>
        <w:tc>
          <w:tcPr>
            <w:tcW w:w="2279" w:type="dxa"/>
            <w:gridSpan w:val="2"/>
            <w:tcBorders>
              <w:top w:val="outset" w:color="000000" w:sz="6" w:space="0"/>
              <w:left w:val="outset" w:color="000000" w:sz="6" w:space="0"/>
              <w:bottom w:val="outset" w:color="000000" w:sz="6" w:space="0"/>
              <w:right w:val="outset" w:color="000000" w:sz="6" w:space="0"/>
            </w:tcBorders>
            <w:noWrap w:val="0"/>
            <w:vAlign w:val="center"/>
          </w:tcPr>
          <w:p w14:paraId="714651FB">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2060" w:type="dxa"/>
            <w:tcBorders>
              <w:top w:val="outset" w:color="000000" w:sz="6" w:space="0"/>
              <w:left w:val="outset" w:color="000000" w:sz="6" w:space="0"/>
              <w:bottom w:val="outset" w:color="000000" w:sz="6" w:space="0"/>
              <w:right w:val="outset" w:color="000000" w:sz="6" w:space="0"/>
            </w:tcBorders>
            <w:noWrap w:val="0"/>
            <w:vAlign w:val="center"/>
          </w:tcPr>
          <w:p w14:paraId="5A851F9C">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检验结论</w:t>
            </w:r>
          </w:p>
        </w:tc>
        <w:tc>
          <w:tcPr>
            <w:tcW w:w="1711" w:type="dxa"/>
            <w:gridSpan w:val="2"/>
            <w:tcBorders>
              <w:top w:val="outset" w:color="000000" w:sz="6" w:space="0"/>
              <w:left w:val="outset" w:color="000000" w:sz="6" w:space="0"/>
              <w:bottom w:val="outset" w:color="000000" w:sz="6" w:space="0"/>
              <w:right w:val="outset" w:color="000000" w:sz="6" w:space="0"/>
            </w:tcBorders>
            <w:noWrap w:val="0"/>
            <w:vAlign w:val="center"/>
          </w:tcPr>
          <w:p w14:paraId="23CD5633">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34193B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 w:type="dxa"/>
            <w:vMerge w:val="continue"/>
            <w:tcBorders>
              <w:top w:val="outset" w:color="000000" w:sz="6" w:space="0"/>
              <w:left w:val="outset" w:color="000000" w:sz="6" w:space="0"/>
              <w:bottom w:val="outset" w:color="000000" w:sz="6" w:space="0"/>
              <w:right w:val="outset" w:color="000000" w:sz="6" w:space="0"/>
            </w:tcBorders>
            <w:noWrap w:val="0"/>
            <w:vAlign w:val="center"/>
          </w:tcPr>
          <w:p w14:paraId="54B7AB2A">
            <w:pPr>
              <w:widowControl/>
              <w:spacing w:line="560" w:lineRule="exact"/>
              <w:jc w:val="left"/>
              <w:rPr>
                <w:rFonts w:hint="eastAsia" w:ascii="仿宋_GB2312" w:hAnsi="仿宋_GB2312" w:eastAsia="仿宋_GB2312" w:cs="仿宋_GB2312"/>
                <w:color w:val="auto"/>
                <w:kern w:val="0"/>
                <w:sz w:val="32"/>
                <w:szCs w:val="32"/>
                <w:highlight w:val="none"/>
              </w:rPr>
            </w:pPr>
          </w:p>
        </w:tc>
        <w:tc>
          <w:tcPr>
            <w:tcW w:w="2150" w:type="dxa"/>
            <w:tcBorders>
              <w:top w:val="outset" w:color="000000" w:sz="6" w:space="0"/>
              <w:left w:val="outset" w:color="000000" w:sz="6" w:space="0"/>
              <w:bottom w:val="outset" w:color="000000" w:sz="6" w:space="0"/>
              <w:right w:val="outset" w:color="000000" w:sz="6" w:space="0"/>
            </w:tcBorders>
            <w:noWrap w:val="0"/>
            <w:vAlign w:val="center"/>
          </w:tcPr>
          <w:p w14:paraId="5F9FD5CD">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下次检验日期</w:t>
            </w:r>
          </w:p>
        </w:tc>
        <w:tc>
          <w:tcPr>
            <w:tcW w:w="2279" w:type="dxa"/>
            <w:gridSpan w:val="2"/>
            <w:tcBorders>
              <w:top w:val="outset" w:color="000000" w:sz="6" w:space="0"/>
              <w:left w:val="outset" w:color="000000" w:sz="6" w:space="0"/>
              <w:bottom w:val="outset" w:color="000000" w:sz="6" w:space="0"/>
              <w:right w:val="outset" w:color="000000" w:sz="6" w:space="0"/>
            </w:tcBorders>
            <w:noWrap w:val="0"/>
            <w:vAlign w:val="center"/>
          </w:tcPr>
          <w:p w14:paraId="0D0DB248">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c>
          <w:tcPr>
            <w:tcW w:w="3771" w:type="dxa"/>
            <w:gridSpan w:val="3"/>
            <w:tcBorders>
              <w:top w:val="outset" w:color="000000" w:sz="6" w:space="0"/>
              <w:left w:val="outset" w:color="000000" w:sz="6" w:space="0"/>
              <w:bottom w:val="outset" w:color="000000" w:sz="6" w:space="0"/>
              <w:right w:val="outset" w:color="000000" w:sz="6" w:space="0"/>
            </w:tcBorders>
            <w:noWrap w:val="0"/>
            <w:vAlign w:val="center"/>
          </w:tcPr>
          <w:p w14:paraId="50B98A90">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14:paraId="27579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9100" w:type="dxa"/>
            <w:gridSpan w:val="7"/>
            <w:tcBorders>
              <w:top w:val="outset" w:color="000000" w:sz="6" w:space="0"/>
              <w:left w:val="outset" w:color="000000" w:sz="6" w:space="0"/>
              <w:bottom w:val="outset" w:color="000000" w:sz="6" w:space="0"/>
              <w:right w:val="outset" w:color="000000" w:sz="6" w:space="0"/>
            </w:tcBorders>
            <w:noWrap w:val="0"/>
            <w:vAlign w:val="center"/>
          </w:tcPr>
          <w:p w14:paraId="1B615F61">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在此申明：所申报的内容真实；在使用过程中，将严格执行《中华人民共和国特种设备安全法》及其相关规定，并接受特种设备安全监督管理部门的监督管理。</w:t>
            </w:r>
          </w:p>
          <w:p w14:paraId="6EA25165">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附：产品数据表</w:t>
            </w:r>
          </w:p>
          <w:p w14:paraId="1F8DBA0A">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使用单位填表人员：           日期：</w:t>
            </w:r>
          </w:p>
          <w:p w14:paraId="7AA80E3D">
            <w:pPr>
              <w:widowControl/>
              <w:spacing w:line="560" w:lineRule="exact"/>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(使用单位公章)</w:t>
            </w:r>
          </w:p>
          <w:p w14:paraId="34049F80">
            <w:pPr>
              <w:widowControl/>
              <w:spacing w:line="56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使用单位安全管理人员：            日期：                年   月   日</w:t>
            </w:r>
          </w:p>
        </w:tc>
      </w:tr>
      <w:tr w14:paraId="300221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00" w:type="dxa"/>
            <w:gridSpan w:val="7"/>
            <w:tcBorders>
              <w:top w:val="outset" w:color="000000" w:sz="6" w:space="0"/>
              <w:left w:val="outset" w:color="000000" w:sz="6" w:space="0"/>
              <w:bottom w:val="outset" w:color="000000" w:sz="6" w:space="0"/>
              <w:right w:val="outset" w:color="000000" w:sz="6" w:space="0"/>
            </w:tcBorders>
            <w:noWrap w:val="0"/>
            <w:vAlign w:val="center"/>
          </w:tcPr>
          <w:p w14:paraId="70302B26">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说明：</w:t>
            </w:r>
          </w:p>
          <w:p w14:paraId="39F35173">
            <w:pPr>
              <w:widowControl/>
              <w:spacing w:line="56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登记机关登记人员：           日期：</w:t>
            </w:r>
          </w:p>
          <w:p w14:paraId="468EF166">
            <w:pPr>
              <w:widowControl/>
              <w:spacing w:line="560" w:lineRule="exact"/>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(登记机关专用章)</w:t>
            </w:r>
          </w:p>
          <w:p w14:paraId="4B76037D">
            <w:pPr>
              <w:widowControl/>
              <w:spacing w:line="560" w:lineRule="exact"/>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使用登记证编号：                                  年   月   日    </w:t>
            </w:r>
          </w:p>
        </w:tc>
      </w:tr>
    </w:tbl>
    <w:p w14:paraId="36E69403">
      <w:pPr>
        <w:widowControl/>
        <w:shd w:val="clear" w:color="auto" w:fill="FFFFFF"/>
        <w:spacing w:line="560" w:lineRule="exact"/>
        <w:jc w:val="left"/>
        <w:rPr>
          <w:rFonts w:ascii="仿宋_GB2312" w:hAnsi="仿宋_GB2312" w:eastAsia="仿宋_GB2312" w:cs="仿宋_GB2312"/>
          <w:color w:val="auto"/>
          <w:sz w:val="32"/>
          <w:szCs w:val="32"/>
          <w:highlight w:val="none"/>
        </w:rPr>
      </w:pPr>
    </w:p>
    <w:p w14:paraId="43991C15">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黑体" w:hAnsi="黑体" w:eastAsia="黑体" w:cs="黑体"/>
          <w:sz w:val="34"/>
          <w:szCs w:val="34"/>
          <w:lang w:val="en-US" w:eastAsia="zh-CN"/>
        </w:rPr>
      </w:pPr>
    </w:p>
    <w:p w14:paraId="0C8AC994"/>
    <w:p w14:paraId="70069DA1"/>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 w:name="Angsana New">
    <w:panose1 w:val="020206030504050203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4E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1D903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81D903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CDCFA8"/>
    <w:rsid w:val="BFFF1AF3"/>
    <w:rsid w:val="D5CDCFA8"/>
    <w:rsid w:val="D7F7B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宋体"/>
      <w:kern w:val="2"/>
      <w:sz w:val="31"/>
      <w:szCs w:val="3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2026-02-26T18:28:00Z</dcterms:created>
  <dc:creator>smsy</dc:creator>
  <cp:lastModifiedBy>smsy</cp:lastModifiedBy>
  <dcterms:modified xsi:type="dcterms:W3CDTF">2026-02-26T16:15:11Z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13B5153BF96F19A1C8B89F69C464C282_43</vt:lpwstr>
  </property>
</Properties>
</file>