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8" w:line="160" w:lineRule="auto"/>
        <w:ind w:left="213"/>
        <w:rPr>
          <w:rFonts w:ascii="微软雅黑" w:hAnsi="微软雅黑" w:eastAsia="微软雅黑" w:cs="微软雅黑"/>
          <w:b/>
          <w:sz w:val="83"/>
          <w:szCs w:val="83"/>
        </w:rPr>
      </w:pPr>
      <w:r>
        <w:rPr>
          <w:rFonts w:ascii="微软雅黑" w:hAnsi="微软雅黑" w:eastAsia="微软雅黑" w:cs="微软雅黑"/>
          <w:b/>
          <w:color w:val="FF0000"/>
          <w:spacing w:val="-87"/>
          <w:sz w:val="83"/>
          <w:szCs w:val="83"/>
        </w:rPr>
        <w:t>福</w:t>
      </w:r>
      <w:r>
        <w:rPr>
          <w:rFonts w:hint="eastAsia" w:ascii="微软雅黑" w:hAnsi="微软雅黑" w:cs="微软雅黑"/>
          <w:b/>
          <w:color w:val="FF0000"/>
          <w:spacing w:val="-87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建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省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工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业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和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信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息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化</w:t>
      </w:r>
      <w:r>
        <w:rPr>
          <w:rFonts w:hint="eastAsia" w:ascii="微软雅黑" w:hAnsi="微软雅黑" w:cs="微软雅黑"/>
          <w:b/>
          <w:color w:val="FF0000"/>
          <w:spacing w:val="-7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pacing w:val="-79"/>
          <w:sz w:val="83"/>
          <w:szCs w:val="83"/>
        </w:rPr>
        <w:t>厅</w:t>
      </w:r>
    </w:p>
    <w:p>
      <w:pPr>
        <w:spacing w:line="90" w:lineRule="exact"/>
        <w:textAlignment w:val="center"/>
      </w:pPr>
      <w:r>
        <w:drawing>
          <wp:inline distT="0" distB="0" distL="0" distR="0">
            <wp:extent cx="5821680" cy="571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ind w:right="320"/>
        <w:jc w:val="right"/>
        <w:rPr>
          <w:rFonts w:hint="eastAsia" w:ascii="仿宋_GB2312" w:hAnsi="仿宋" w:eastAsia="仿宋_GB2312" w:cs="仿宋"/>
          <w:spacing w:val="1"/>
          <w:sz w:val="32"/>
          <w:szCs w:val="32"/>
        </w:rPr>
      </w:pPr>
    </w:p>
    <w:p>
      <w:pPr>
        <w:spacing w:line="247" w:lineRule="auto"/>
        <w:ind w:right="3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sz w:val="32"/>
          <w:szCs w:val="32"/>
        </w:rPr>
        <w:t>闽工信函中小〔2022〕295号</w:t>
      </w:r>
    </w:p>
    <w:p>
      <w:pPr>
        <w:spacing w:line="247" w:lineRule="auto"/>
        <w:jc w:val="center"/>
        <w:rPr>
          <w:color w:val="auto"/>
        </w:rPr>
      </w:pPr>
    </w:p>
    <w:p>
      <w:pPr>
        <w:spacing w:line="292" w:lineRule="auto"/>
        <w:jc w:val="center"/>
        <w:rPr>
          <w:rFonts w:hint="eastAsia" w:ascii="方正小标宋简体" w:hAnsi="黑体" w:eastAsia="方正小标宋简体" w:cs="微软雅黑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微软雅黑"/>
          <w:color w:val="auto"/>
          <w:sz w:val="36"/>
          <w:szCs w:val="36"/>
        </w:rPr>
        <w:t>福建省工业和信息化厅关于组织开展第四批专精特新</w:t>
      </w:r>
    </w:p>
    <w:p>
      <w:pPr>
        <w:spacing w:line="292" w:lineRule="auto"/>
        <w:jc w:val="center"/>
        <w:rPr>
          <w:rFonts w:hint="eastAsia" w:ascii="方正小标宋简体" w:hAnsi="黑体" w:eastAsia="方正小标宋简体" w:cs="微软雅黑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微软雅黑"/>
          <w:color w:val="auto"/>
          <w:sz w:val="36"/>
          <w:szCs w:val="36"/>
        </w:rPr>
        <w:t>“小巨人”企业推荐和第一批专精特新“小巨人”</w:t>
      </w:r>
    </w:p>
    <w:p>
      <w:pPr>
        <w:spacing w:line="292" w:lineRule="auto"/>
        <w:jc w:val="center"/>
        <w:rPr>
          <w:rFonts w:hint="eastAsia" w:ascii="方正小标宋简体" w:hAnsi="黑体" w:eastAsia="方正小标宋简体" w:cs="微软雅黑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微软雅黑"/>
          <w:color w:val="auto"/>
          <w:sz w:val="36"/>
          <w:szCs w:val="36"/>
        </w:rPr>
        <w:t>企业复核工作的通知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各设区市工信局、平潭综合实验区经发局：</w:t>
      </w:r>
      <w:r>
        <w:rPr>
          <w:rFonts w:hint="eastAsia" w:eastAsia="仿宋_GB2312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根据《工业和信息化部办公厅关于开展第四批专精特新“小巨人”企业培育和第一批专精特新“小巨人”企业复核工作的通知》（工信厅企业函〔2022〕133号）精神，为做好我省第四批专精特新“小巨人”企业组织推荐和第一批专精特新“小巨人”企业复核工作，现就有关事项通知如下：</w:t>
      </w:r>
      <w:r>
        <w:rPr>
          <w:rFonts w:hint="eastAsia" w:eastAsia="仿宋_GB2312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一、工作目标</w:t>
      </w:r>
      <w:r>
        <w:rPr>
          <w:rFonts w:hint="eastAsia" w:eastAsia="黑体"/>
          <w:bCs/>
          <w:sz w:val="32"/>
          <w:szCs w:val="32"/>
        </w:rPr>
        <w:t> </w:t>
      </w:r>
      <w:r>
        <w:rPr>
          <w:rFonts w:hint="eastAsia" w:eastAsia="黑体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以习近平新时代中国特色社会主义思想为指导，聚焦制造强国和网络强国战略，围绕提升产业基础高级化、产业链现代化水平，坚持培优企业与做强产业相结合，坚持创新驱动、市场带动、上下联动和持续推动，坚持政策惠企、服务助企、环境活企，分层培育专精特新中小企业群体，分类促进企业做精做强做大，加快完善优质中小企业梯度培育体系，为“十四五”期间培育百万家创新型中小企业、十万家省级专精特新中小企业、万家专精特新“小巨人”企业打下坚实基础，为推动经济高质量发展、构建新发展格局提供有力支撑。</w:t>
      </w:r>
      <w:r>
        <w:rPr>
          <w:rFonts w:hint="eastAsia" w:eastAsia="仿宋_GB2312"/>
          <w:sz w:val="32"/>
          <w:szCs w:val="32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二、培育措施</w:t>
      </w:r>
      <w:r>
        <w:rPr>
          <w:rFonts w:hint="eastAsia" w:eastAsia="黑体"/>
          <w:bCs/>
          <w:sz w:val="32"/>
          <w:szCs w:val="32"/>
        </w:rPr>
        <w:t>   </w:t>
      </w:r>
      <w:r>
        <w:rPr>
          <w:rFonts w:hint="eastAsia" w:eastAsia="黑体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（一）强化梯度培育。</w:t>
      </w:r>
      <w:r>
        <w:rPr>
          <w:rFonts w:hint="eastAsia" w:ascii="仿宋_GB2312" w:eastAsia="仿宋_GB2312"/>
          <w:sz w:val="32"/>
          <w:szCs w:val="32"/>
        </w:rPr>
        <w:t>各地要围绕提升中小企业创新能力和专业化水平，按照《工业和信息化部关于印发〈优质中小企业梯度培育管理暂行办法〉的通知》（工信部企业〔2022〕63号，以下简称《办法》）要求，不断孵化创新型中小企业，加大省级专精特新中小企业培育力度，并促进其向专精特新“小巨人”企业发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（二）加强政策支持。围绕落实国务院促进中小企业发展工作领导小组办公室《为专精特新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中小企业办实事清单》，完善专精特新中小企业和专精特新“小巨人”企业支持政策，持续开展“专精特新八闽行”活动，建立部门协同配合、共同推动的工作机制。结合本地实际，着力在资金、人才、创新、数字化、绿色化转型等方面给予专精特新中小企业大力支持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（三）开展精准服务。强化融资服务，拓宽中小企业融资渠道，做好专精特新中小企业等优质企业上市培育。加强创新服务，实施大中小企业融通创新“携手行动”和中小企业数字化赋能专项行动，广泛开展管理咨询、人才培训等服务，为中小企业专精特新发展提供有力支撑。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（四）优化发展环境。以优质中小企业培育为抓手，深化“放管服”改革，最大限度降低中小企业准入门槛，营造公平竞争环境。将培优和纾困一体化考虑，同步加大防范化解拖欠中小企业账款力度，维护中小企业合法权益。推进大中小企业融通创新、产学研协同创新向纵深发展，不断完善中小企业创新生态。认真总结培育专精特新“小巨人”企业的经验和做法，注重发挥其示范引领作用，引导广大中小企业走专精特新发展道路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（五）加强动态管理。专精特新“小巨人”企业称号有效期为3年。工业和信息化部将组织对入选满3年的企业进行复核，对不符合条件或未提交复核申请材料的企业撤销认定。有效期内如发现虚假申报或存在违法违规行为的，一经查实，即取消认定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</w:t>
      </w:r>
      <w:r>
        <w:rPr>
          <w:rFonts w:hint="eastAsia" w:ascii="黑体" w:hAnsi="黑体" w:eastAsia="黑体"/>
          <w:bCs/>
          <w:sz w:val="32"/>
          <w:szCs w:val="32"/>
        </w:rPr>
        <w:t>　三、组织实施</w:t>
      </w:r>
      <w:r>
        <w:rPr>
          <w:rFonts w:hint="eastAsia" w:ascii="黑体" w:eastAsia="黑体"/>
          <w:bCs/>
          <w:sz w:val="32"/>
          <w:szCs w:val="32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</w:t>
      </w:r>
      <w:r>
        <w:rPr>
          <w:rFonts w:hint="eastAsia" w:ascii="楷体_GB2312" w:eastAsia="楷体_GB2312"/>
          <w:bCs/>
          <w:sz w:val="32"/>
          <w:szCs w:val="32"/>
        </w:rPr>
        <w:t>　（一）申报要求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1.第四批专精特新“小巨人”企业由省级专精特新中小企业自愿申请，第一批专精特新“小巨人”企业自愿提出复核申请，相关申请均不收取任何费用，无需也不建议通过任何中介机构辅助申请。审核坚持公平公正，企业只需如实填报并提供资料即可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2.符合《办法》中专精特新“小巨人”企业有关认定标准，相关概念需按《办法》附件4中“部分指标和要求说明”严格把握。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3.对于已列为工业和信息化部制造业单项冠军企业或产品的企业，不再推荐；对于工信部已认定的专精特新“小巨人”企业存在控股关系（持股/被持股比例超过50%）的企业，以及同一集团内生产相似主导产品企业，不予推荐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</w:t>
      </w:r>
      <w:r>
        <w:rPr>
          <w:rFonts w:hint="eastAsia" w:ascii="楷体_GB2312" w:eastAsia="楷体_GB2312"/>
          <w:bCs/>
          <w:sz w:val="32"/>
          <w:szCs w:val="32"/>
        </w:rPr>
        <w:t>　（二）关于第四批专精特新“小巨人”企业培育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推荐和初核。各设区市工信部门（含平潭，下同）负责组织第四批专精特新“小巨人”企业初核和推荐工作，认真做好申报指导，加强对申报材料的审核把关，于6月30日前将推荐文件（含附件3推荐汇总表）及被推荐企业的申报材料（附件1申请书、相关佐证材料分开装订，申请书一式三份，佐证材料一式一份）上报我厅（附件1和附件3可编辑电子版及佐证材料扫描件同步发送至指定电子邮箱）。我厅将根据各地推荐申报情况，按程序择优向工业和信息化部推荐我省第四批专精特新“小巨人”企业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审核公布。工业和信息化部组织对各地上报的推荐材料进行审核。根据审核结果，确定并发布第四批专精特新“小巨人”企业名单。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</w:t>
      </w:r>
      <w:r>
        <w:rPr>
          <w:rFonts w:hint="eastAsia" w:ascii="楷体_GB2312" w:eastAsia="楷体_GB2312"/>
          <w:bCs/>
          <w:sz w:val="32"/>
          <w:szCs w:val="32"/>
        </w:rPr>
        <w:t>　（三）关于第一批专精特新“小巨人”企业复核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推荐和复核。复核工作以地方为主，各设区市工信部门组织符合申报要求的第一批专精特新“小巨人”企业填写复核申请书（附件2），并提供相关佐证材料。要坚持严标准、进行严把关，通过现场调研与材料审核相结合的方式，按照专精特新“小巨人”企业认定标准逐一审查、核实后，提出推荐意见。对于未通过复核的“小巨人”企业，也需说明原因。各设区市工信部门请于6月30日前将推荐文件（含附件4复核情况汇总表）及复核企业的申报材料（附件2复核申请书、相关佐证材料合并装订，一式一份）上报我厅（附件2和附件4可编辑电子版及佐证材料扫描件同步发送至指定电子邮箱）。我厅将根据各地复核推荐情况，按程序向工业和信息化部推荐我省第一批专精特新“小巨人”复核企业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审核公布。工业和信息化部将组织专家重点从企业规模、创新能力、合规经营、产业导向等方面，对各地复核推荐企业进行形式审核，视情况对企业进行抽查，确定并发布通过复核的第一批专精特新“小巨人”企业名单。为加强政策衔接，在该名单发布前，原第一批专精特新“小巨人”企业称号依然有效；在该名单发布后，原第一批专精特新“小巨人”企业称号自动失效，以该名单内企业为准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</w:t>
      </w:r>
      <w:r>
        <w:rPr>
          <w:rFonts w:hint="eastAsia" w:ascii="楷体_GB2312" w:eastAsia="楷体_GB2312"/>
          <w:bCs/>
          <w:sz w:val="32"/>
          <w:szCs w:val="32"/>
        </w:rPr>
        <w:t>（四）申报方式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1.专精特新“小巨人”企业申请和复核采取线上填报与线下报送相结合的方式，线上与线下数据应保持一致。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2.企业通过线上系统报送（zjtx.miit.gov.cn，技术支持电话：0571-56137700）。按照本通知列明的申报材料，于2022年6月21日至6月28日期间上传。 　　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我厅初审核实后，按要求向工业和信息化部报送纸质材料。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</w:t>
      </w:r>
      <w:r>
        <w:rPr>
          <w:rFonts w:hint="eastAsia" w:ascii="楷体_GB2312" w:eastAsia="楷体_GB2312"/>
          <w:bCs/>
          <w:sz w:val="32"/>
          <w:szCs w:val="32"/>
        </w:rPr>
        <w:t>（五）其他要求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各设区市工信部门要按照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宁缺毋</w:t>
      </w:r>
      <w:r>
        <w:rPr>
          <w:rFonts w:hint="eastAsia" w:ascii="仿宋_GB2312" w:eastAsia="仿宋_GB2312"/>
          <w:bCs/>
          <w:sz w:val="32"/>
          <w:szCs w:val="32"/>
        </w:rPr>
        <w:t>滥的原则，严格把关，积极稳妥开展推荐工作，确保培育工作稳定可持续。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　　四、联系方式</w:t>
      </w:r>
      <w:r>
        <w:rPr>
          <w:rFonts w:hint="eastAsia" w:ascii="黑体" w:eastAsia="黑体"/>
          <w:bCs/>
          <w:sz w:val="32"/>
          <w:szCs w:val="32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省工信厅中小企业处    林文锦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联系电话：0591-87833147（同传真）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电子邮箱：zxqyc@gxt.fujian.gov.cn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附件：1.第四批专精特新“小巨人”企业申请书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　　　2.第一批专精特新“小巨人”企业复核申请书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　　　3.第四批专精特新“小巨人”企业推荐汇总表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　　　4.第一批专精特新“小巨人”企业复核情况汇总表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 福建省工业和信息化厅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    2022年6月21日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bCs/>
          <w:sz w:val="32"/>
          <w:szCs w:val="32"/>
        </w:rPr>
        <w:sectPr>
          <w:footerReference r:id="rId3" w:type="default"/>
          <w:pgSz w:w="11906" w:h="16839"/>
          <w:pgMar w:top="1431" w:right="1157" w:bottom="1400" w:left="1270" w:header="0" w:footer="1319" w:gutter="0"/>
          <w:cols w:space="720" w:num="1"/>
        </w:sectPr>
      </w:pPr>
      <w:r>
        <w:rPr>
          <w:rFonts w:hint="eastAsia" w:ascii="仿宋_GB2312" w:eastAsia="仿宋_GB2312"/>
          <w:bCs/>
          <w:sz w:val="32"/>
          <w:szCs w:val="32"/>
        </w:rPr>
        <w:t>　　                  </w:t>
      </w:r>
    </w:p>
    <w:p>
      <w:pPr>
        <w:spacing w:line="222" w:lineRule="auto"/>
        <w:rPr>
          <w:rFonts w:hint="eastAsia" w:ascii="仿宋" w:hAnsi="仿宋" w:cs="仿宋"/>
          <w:sz w:val="31"/>
          <w:szCs w:val="31"/>
        </w:rPr>
      </w:pPr>
    </w:p>
    <w:sectPr>
      <w:footerReference r:id="rId4" w:type="default"/>
      <w:pgSz w:w="11906" w:h="16839"/>
      <w:pgMar w:top="1431" w:right="1473" w:bottom="1117" w:left="1482" w:header="0" w:footer="8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0" w:lineRule="exact"/>
      <w:rPr>
        <w:sz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9A"/>
    <w:rsid w:val="0078399A"/>
    <w:rsid w:val="00BA47B3"/>
    <w:rsid w:val="00C4075D"/>
    <w:rsid w:val="00F91D8D"/>
    <w:rsid w:val="416478AC"/>
    <w:rsid w:val="4BBF2EDD"/>
    <w:rsid w:val="6A7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446</Words>
  <Characters>2548</Characters>
  <Lines>21</Lines>
  <Paragraphs>5</Paragraphs>
  <TotalTime>13</TotalTime>
  <ScaleCrop>false</ScaleCrop>
  <LinksUpToDate>false</LinksUpToDate>
  <CharactersWithSpaces>2989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2022-02-28T09:44:00Z</dcterms:created>
  <dc:creator>黄春莺</dc:creator>
  <cp:lastModifiedBy>Administrator</cp:lastModifiedBy>
  <dcterms:modified xsi:type="dcterms:W3CDTF">2025-03-12T07:08:06Z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2022-06-22T16:33:34Z</vt:filetime>
  </property>
  <property fmtid="{D5CDD505-2E9C-101B-9397-08002B2CF9AE}" pid="4" name="KSOProductBuildVer">
    <vt:lpwstr>2052-10.8.0.6423</vt:lpwstr>
  </property>
</Properties>
</file>