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43" w:line="219" w:lineRule="auto"/>
        <w:rPr>
          <w:rFonts w:hint="eastAsia" w:ascii="仿宋" w:hAnsi="仿宋" w:eastAsia="仿宋"/>
          <w:bCs/>
          <w:spacing w:val="-11"/>
          <w:sz w:val="32"/>
          <w:szCs w:val="32"/>
          <w:lang w:eastAsia="zh-CN"/>
        </w:rPr>
      </w:pPr>
      <w:r>
        <w:rPr>
          <w:rFonts w:hint="eastAsia" w:ascii="仿宋" w:hAnsi="仿宋" w:eastAsia="仿宋"/>
          <w:bCs/>
          <w:spacing w:val="-11"/>
          <w:sz w:val="32"/>
          <w:szCs w:val="32"/>
          <w:lang w:eastAsia="zh-CN"/>
        </w:rPr>
        <w:t>附件1</w:t>
      </w:r>
    </w:p>
    <w:p>
      <w:pPr>
        <w:pStyle w:val="2"/>
        <w:spacing w:before="143" w:line="219" w:lineRule="auto"/>
        <w:ind w:left="326" w:firstLine="839"/>
        <w:jc w:val="center"/>
        <w:rPr>
          <w:sz w:val="44"/>
          <w:szCs w:val="44"/>
        </w:rPr>
      </w:pPr>
      <w:r>
        <w:rPr>
          <w:rFonts w:hint="eastAsia"/>
          <w:b/>
          <w:bCs/>
          <w:spacing w:val="-11"/>
          <w:sz w:val="44"/>
          <w:szCs w:val="44"/>
          <w:lang w:eastAsia="zh-CN"/>
        </w:rPr>
        <w:t>三明市</w:t>
      </w:r>
      <w:r>
        <w:rPr>
          <w:b/>
          <w:bCs/>
          <w:spacing w:val="-11"/>
          <w:sz w:val="44"/>
          <w:szCs w:val="44"/>
        </w:rPr>
        <w:t>全程可追溯中药材规范化生产示范基地</w:t>
      </w:r>
      <w:r>
        <w:rPr>
          <w:b/>
          <w:bCs/>
          <w:spacing w:val="28"/>
          <w:sz w:val="44"/>
          <w:szCs w:val="44"/>
        </w:rPr>
        <w:t>建设规范(试行)</w:t>
      </w:r>
    </w:p>
    <w:p>
      <w:pPr>
        <w:spacing w:line="336" w:lineRule="auto"/>
      </w:pPr>
    </w:p>
    <w:p>
      <w:pPr>
        <w:spacing w:line="540" w:lineRule="exact"/>
      </w:pPr>
    </w:p>
    <w:p>
      <w:pPr>
        <w:spacing w:line="540" w:lineRule="exact"/>
        <w:ind w:left="62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7"/>
          <w:sz w:val="32"/>
          <w:szCs w:val="32"/>
        </w:rPr>
        <w:t>一、基本要求</w:t>
      </w:r>
    </w:p>
    <w:p>
      <w:pPr>
        <w:spacing w:line="540" w:lineRule="exact"/>
        <w:ind w:firstLine="619"/>
        <w:rPr>
          <w:rFonts w:ascii="仿宋" w:hAnsi="仿宋" w:eastAsia="仿宋" w:cs="仿宋"/>
          <w:spacing w:val="-4"/>
          <w:sz w:val="32"/>
          <w:szCs w:val="32"/>
        </w:rPr>
      </w:pPr>
      <w:r>
        <w:rPr>
          <w:rFonts w:ascii="仿宋" w:hAnsi="仿宋" w:eastAsia="仿宋" w:cs="仿宋"/>
          <w:b/>
          <w:bCs/>
          <w:spacing w:val="-6"/>
          <w:sz w:val="32"/>
          <w:szCs w:val="32"/>
        </w:rPr>
        <w:t>1.面积要求：</w:t>
      </w:r>
      <w:r>
        <w:rPr>
          <w:rFonts w:hint="eastAsia" w:ascii="仿宋" w:hAnsi="仿宋" w:eastAsia="仿宋" w:cs="仿宋"/>
          <w:color w:val="000000"/>
          <w:spacing w:val="-4"/>
          <w:sz w:val="32"/>
          <w:szCs w:val="32"/>
          <w:lang w:eastAsia="zh-CN"/>
        </w:rPr>
        <w:t>明产道地药材</w:t>
      </w:r>
      <w:r>
        <w:rPr>
          <w:rFonts w:ascii="仿宋" w:hAnsi="仿宋" w:eastAsia="仿宋" w:cs="仿宋"/>
          <w:color w:val="000000"/>
          <w:spacing w:val="-4"/>
          <w:sz w:val="32"/>
          <w:szCs w:val="32"/>
        </w:rPr>
        <w:t>单</w:t>
      </w:r>
      <w:r>
        <w:rPr>
          <w:rFonts w:ascii="仿宋" w:hAnsi="仿宋" w:eastAsia="仿宋" w:cs="仿宋"/>
          <w:spacing w:val="-4"/>
          <w:sz w:val="32"/>
          <w:szCs w:val="32"/>
        </w:rPr>
        <w:t>品种种植面积</w:t>
      </w:r>
      <w:r>
        <w:rPr>
          <w:rFonts w:ascii="仿宋" w:hAnsi="仿宋" w:eastAsia="仿宋" w:cs="仿宋"/>
          <w:spacing w:val="-4"/>
          <w:sz w:val="32"/>
          <w:szCs w:val="32"/>
          <w:lang w:eastAsia="zh-CN"/>
        </w:rPr>
        <w:t>50</w:t>
      </w:r>
      <w:r>
        <w:rPr>
          <w:rFonts w:ascii="仿宋" w:hAnsi="仿宋" w:eastAsia="仿宋" w:cs="仿宋"/>
          <w:spacing w:val="-4"/>
          <w:sz w:val="32"/>
          <w:szCs w:val="32"/>
        </w:rPr>
        <w:t>亩以上。</w:t>
      </w:r>
    </w:p>
    <w:p>
      <w:pPr>
        <w:spacing w:line="540" w:lineRule="exact"/>
        <w:ind w:firstLine="619"/>
        <w:rPr>
          <w:rFonts w:ascii="仿宋" w:hAnsi="仿宋" w:eastAsia="仿宋" w:cs="仿宋"/>
          <w:spacing w:val="-4"/>
          <w:sz w:val="32"/>
          <w:szCs w:val="32"/>
        </w:rPr>
      </w:pPr>
      <w:r>
        <w:rPr>
          <w:rFonts w:ascii="仿宋" w:hAnsi="仿宋" w:eastAsia="仿宋" w:cs="仿宋"/>
          <w:b/>
          <w:bCs/>
          <w:spacing w:val="-4"/>
          <w:sz w:val="32"/>
          <w:szCs w:val="32"/>
        </w:rPr>
        <w:t>2.种源鉴定：</w:t>
      </w:r>
      <w:r>
        <w:rPr>
          <w:rFonts w:ascii="仿宋" w:hAnsi="仿宋" w:eastAsia="仿宋" w:cs="仿宋"/>
          <w:spacing w:val="-4"/>
          <w:sz w:val="32"/>
          <w:szCs w:val="32"/>
        </w:rPr>
        <w:t>种源为科研院校和行业专家鉴定的国家药典品</w:t>
      </w:r>
      <w:r>
        <w:rPr>
          <w:rFonts w:ascii="仿宋" w:hAnsi="仿宋" w:eastAsia="仿宋" w:cs="仿宋"/>
          <w:spacing w:val="-4"/>
          <w:sz w:val="32"/>
          <w:szCs w:val="32"/>
          <w:lang w:eastAsia="zh-CN"/>
        </w:rPr>
        <w:t>种或地方特色药材品种。</w:t>
      </w:r>
    </w:p>
    <w:p>
      <w:pPr>
        <w:spacing w:line="540" w:lineRule="exact"/>
        <w:ind w:firstLine="619"/>
        <w:rPr>
          <w:rFonts w:ascii="仿宋" w:hAnsi="仿宋" w:eastAsia="仿宋" w:cs="仿宋"/>
          <w:spacing w:val="-4"/>
          <w:sz w:val="32"/>
          <w:szCs w:val="32"/>
        </w:rPr>
      </w:pPr>
      <w:r>
        <w:rPr>
          <w:rFonts w:ascii="仿宋" w:hAnsi="仿宋" w:eastAsia="仿宋" w:cs="仿宋"/>
          <w:b/>
          <w:bCs/>
          <w:spacing w:val="-4"/>
          <w:sz w:val="32"/>
          <w:szCs w:val="32"/>
        </w:rPr>
        <w:t>3.环境质量：</w:t>
      </w:r>
      <w:r>
        <w:rPr>
          <w:rFonts w:ascii="仿宋" w:hAnsi="仿宋" w:eastAsia="仿宋" w:cs="仿宋"/>
          <w:spacing w:val="-4"/>
          <w:sz w:val="32"/>
          <w:szCs w:val="32"/>
        </w:rPr>
        <w:t>中药材基地土壤、水源、空气质量监测结果符合国家要求。</w:t>
      </w:r>
    </w:p>
    <w:p>
      <w:pPr>
        <w:spacing w:line="540" w:lineRule="exact"/>
        <w:ind w:firstLine="619"/>
        <w:rPr>
          <w:rFonts w:ascii="仿宋" w:hAnsi="仿宋" w:eastAsia="仿宋" w:cs="仿宋"/>
          <w:spacing w:val="-4"/>
          <w:sz w:val="32"/>
          <w:szCs w:val="32"/>
        </w:rPr>
      </w:pPr>
      <w:r>
        <w:rPr>
          <w:rFonts w:ascii="仿宋" w:hAnsi="仿宋" w:eastAsia="仿宋" w:cs="仿宋"/>
          <w:b/>
          <w:bCs/>
          <w:spacing w:val="-4"/>
          <w:sz w:val="32"/>
          <w:szCs w:val="32"/>
        </w:rPr>
        <w:t xml:space="preserve">4.药材质量： </w:t>
      </w:r>
      <w:r>
        <w:rPr>
          <w:rFonts w:ascii="仿宋" w:hAnsi="仿宋" w:eastAsia="仿宋" w:cs="仿宋"/>
          <w:spacing w:val="-4"/>
          <w:sz w:val="32"/>
          <w:szCs w:val="32"/>
        </w:rPr>
        <w:t>药材质量符合国家或省级标准要求。</w:t>
      </w:r>
    </w:p>
    <w:p>
      <w:pPr>
        <w:spacing w:line="540" w:lineRule="exact"/>
        <w:ind w:firstLine="619"/>
        <w:rPr>
          <w:rFonts w:hint="default" w:ascii="仿宋" w:hAnsi="仿宋" w:eastAsia="仿宋" w:cs="仿宋"/>
          <w:spacing w:val="-4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4"/>
          <w:sz w:val="32"/>
          <w:szCs w:val="32"/>
          <w:lang w:val="en-US" w:eastAsia="zh-CN"/>
        </w:rPr>
        <w:t>5.建设内容已列入“福九味”产业集群项目支持的，不再重复申报。</w:t>
      </w:r>
    </w:p>
    <w:p>
      <w:pPr>
        <w:spacing w:line="540" w:lineRule="exact"/>
        <w:ind w:left="62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5"/>
          <w:sz w:val="32"/>
          <w:szCs w:val="32"/>
        </w:rPr>
        <w:t>二、配套生产管理追溯系统功能要求</w:t>
      </w:r>
    </w:p>
    <w:p>
      <w:pPr>
        <w:spacing w:line="540" w:lineRule="exact"/>
        <w:ind w:left="0" w:leftChars="0" w:firstLine="618" w:firstLineChars="200"/>
        <w:outlineLvl w:val="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6"/>
          <w:sz w:val="32"/>
          <w:szCs w:val="32"/>
        </w:rPr>
        <w:t>1.种植基地可视化</w:t>
      </w:r>
      <w:r>
        <w:rPr>
          <w:rFonts w:hint="eastAsia" w:ascii="仿宋" w:hAnsi="仿宋" w:eastAsia="仿宋" w:cs="仿宋"/>
          <w:b/>
          <w:bCs/>
          <w:spacing w:val="-6"/>
          <w:sz w:val="32"/>
          <w:szCs w:val="32"/>
          <w:lang w:eastAsia="zh-CN"/>
        </w:rPr>
        <w:t>。</w:t>
      </w:r>
      <w:r>
        <w:rPr>
          <w:rFonts w:ascii="仿宋" w:hAnsi="仿宋" w:eastAsia="仿宋" w:cs="仿宋"/>
          <w:spacing w:val="-4"/>
          <w:sz w:val="32"/>
          <w:szCs w:val="32"/>
        </w:rPr>
        <w:t>建设中药材溯源创新应用基地物联网可视化管理系统，基于</w:t>
      </w:r>
      <w:r>
        <w:rPr>
          <w:rFonts w:ascii="仿宋" w:hAnsi="仿宋" w:eastAsia="仿宋" w:cs="仿宋"/>
          <w:spacing w:val="2"/>
          <w:sz w:val="32"/>
          <w:szCs w:val="32"/>
        </w:rPr>
        <w:t>物联网、大数据、3</w:t>
      </w:r>
      <w:r>
        <w:rPr>
          <w:rFonts w:hint="eastAsia" w:ascii="Times New Roman" w:hAnsi="Times New Roman" w:eastAsia="宋体" w:cs="Times New Roman"/>
          <w:spacing w:val="2"/>
          <w:sz w:val="32"/>
          <w:szCs w:val="32"/>
          <w:lang w:val="en-US" w:eastAsia="zh-CN"/>
        </w:rPr>
        <w:t>S</w:t>
      </w:r>
      <w:r>
        <w:rPr>
          <w:rFonts w:ascii="Times New Roman" w:hAnsi="Times New Roman" w:eastAsia="Times New Roman" w:cs="Times New Roman"/>
          <w:spacing w:val="5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(地理信息、遥感、全球定位)技术等展示</w:t>
      </w:r>
      <w:r>
        <w:rPr>
          <w:rFonts w:ascii="仿宋" w:hAnsi="仿宋" w:eastAsia="仿宋" w:cs="仿宋"/>
          <w:spacing w:val="-5"/>
          <w:sz w:val="32"/>
          <w:szCs w:val="32"/>
        </w:rPr>
        <w:t>基地资源详细信息，建设基地“一张图”,建立基地数据资源库。</w:t>
      </w:r>
      <w:r>
        <w:rPr>
          <w:rFonts w:ascii="仿宋" w:hAnsi="仿宋" w:eastAsia="仿宋" w:cs="仿宋"/>
          <w:spacing w:val="-4"/>
          <w:sz w:val="32"/>
          <w:szCs w:val="32"/>
        </w:rPr>
        <w:t>包括基地布局、企业状况、产品信息、物联网数据、销售服务信</w:t>
      </w:r>
      <w:r>
        <w:rPr>
          <w:rFonts w:ascii="仿宋" w:hAnsi="仿宋" w:eastAsia="仿宋" w:cs="仿宋"/>
          <w:spacing w:val="-8"/>
          <w:sz w:val="32"/>
          <w:szCs w:val="32"/>
        </w:rPr>
        <w:t>息、初/深加工、物流仓储、质量认证和追溯</w:t>
      </w:r>
      <w:r>
        <w:rPr>
          <w:rFonts w:ascii="仿宋" w:hAnsi="仿宋" w:eastAsia="仿宋" w:cs="仿宋"/>
          <w:spacing w:val="-9"/>
          <w:sz w:val="32"/>
          <w:szCs w:val="32"/>
        </w:rPr>
        <w:t>管理等，实现地块信</w:t>
      </w:r>
      <w:r>
        <w:rPr>
          <w:rFonts w:ascii="仿宋" w:hAnsi="仿宋" w:eastAsia="仿宋" w:cs="仿宋"/>
          <w:spacing w:val="-6"/>
          <w:sz w:val="32"/>
          <w:szCs w:val="32"/>
        </w:rPr>
        <w:t>息展示、气象环境档案、地块管理、设施管理、耕地质量分析、</w:t>
      </w:r>
      <w:r>
        <w:rPr>
          <w:rFonts w:ascii="仿宋" w:hAnsi="仿宋" w:eastAsia="仿宋" w:cs="仿宋"/>
          <w:spacing w:val="-4"/>
          <w:sz w:val="32"/>
          <w:szCs w:val="32"/>
        </w:rPr>
        <w:t>生产种植分析、能耗分析等功能。基地应具备对接福建省中药质</w:t>
      </w:r>
      <w:r>
        <w:rPr>
          <w:rFonts w:ascii="仿宋" w:hAnsi="仿宋" w:eastAsia="仿宋" w:cs="仿宋"/>
          <w:spacing w:val="-3"/>
          <w:sz w:val="32"/>
          <w:szCs w:val="32"/>
        </w:rPr>
        <w:t>量全程追溯服务平台条件，平台提供标准接口，可实现与国内行</w:t>
      </w:r>
      <w:r>
        <w:rPr>
          <w:rFonts w:hint="eastAsia" w:ascii="仿宋" w:hAnsi="仿宋" w:eastAsia="仿宋" w:cs="仿宋"/>
          <w:spacing w:val="-3"/>
          <w:sz w:val="32"/>
          <w:szCs w:val="32"/>
          <w:lang w:eastAsia="zh-CN"/>
        </w:rPr>
        <w:t>业平台及中药引片厂、中成药、医疗机构的数据共享。</w:t>
      </w:r>
    </w:p>
    <w:p>
      <w:pPr>
        <w:spacing w:line="540" w:lineRule="exact"/>
        <w:ind w:left="0" w:leftChars="0" w:firstLine="610" w:firstLineChars="200"/>
        <w:outlineLvl w:val="0"/>
        <w:rPr>
          <w:rFonts w:ascii="仿宋" w:hAnsi="仿宋" w:eastAsia="仿宋" w:cs="仿宋"/>
          <w:spacing w:val="-6"/>
          <w:sz w:val="32"/>
          <w:szCs w:val="32"/>
        </w:rPr>
      </w:pPr>
      <w:r>
        <w:rPr>
          <w:rFonts w:ascii="仿宋" w:hAnsi="仿宋" w:eastAsia="仿宋" w:cs="仿宋"/>
          <w:b/>
          <w:bCs/>
          <w:spacing w:val="-8"/>
          <w:sz w:val="32"/>
          <w:szCs w:val="32"/>
        </w:rPr>
        <w:t>2.生产智能化规范化管理</w:t>
      </w:r>
      <w:r>
        <w:rPr>
          <w:rFonts w:hint="eastAsia" w:ascii="仿宋" w:hAnsi="仿宋" w:eastAsia="仿宋" w:cs="仿宋"/>
          <w:b/>
          <w:bCs/>
          <w:spacing w:val="-8"/>
          <w:sz w:val="32"/>
          <w:szCs w:val="32"/>
          <w:lang w:eastAsia="zh-CN"/>
        </w:rPr>
        <w:t>。</w:t>
      </w:r>
      <w:r>
        <w:rPr>
          <w:rFonts w:ascii="仿宋" w:hAnsi="仿宋" w:eastAsia="仿宋" w:cs="仿宋"/>
          <w:spacing w:val="-6"/>
          <w:sz w:val="32"/>
          <w:szCs w:val="32"/>
        </w:rPr>
        <w:t>实现田间种植生产、采收、加工、仓储等生产过程的智能化管理，强化农药、肥料、加工辅料等投入品监管。通过物联网的感知终端和传输设备，采集、分析、监测中药材生产基地土壤温度、湿度、PH值、风力、降雨量、空气湿度和温度、光照强度等生长环境因子，实现物联网设备管理。包括摄像头、传感器、气象站等数据抓取与存储、实时监控、远程控制。鼓励集成测土配方、病虫害辅助诊断等系统，应用智能化中药材加工环境监测设备，实现自动、远程调节控制中药材生产加工的温湿度等。提升药材生产过程整地、定植、施肥、病虫害防治等田间全程农事管理，加强产地加工技术规程管理，保证加工过程方法的一致性，做好趁鲜加工和保鲜冷藏区域环境监测，鼓励推广智能化仓储分</w:t>
      </w:r>
    </w:p>
    <w:p>
      <w:pPr>
        <w:spacing w:line="540" w:lineRule="exact"/>
        <w:rPr>
          <w:rFonts w:ascii="仿宋" w:hAnsi="仿宋" w:eastAsia="仿宋" w:cs="仿宋"/>
          <w:spacing w:val="-6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拣、产品标签等设备。</w:t>
      </w:r>
    </w:p>
    <w:p>
      <w:pPr>
        <w:spacing w:line="540" w:lineRule="exact"/>
        <w:ind w:firstLine="606" w:firstLineChars="200"/>
        <w:outlineLvl w:val="0"/>
        <w:rPr>
          <w:rFonts w:ascii="仿宋" w:hAnsi="仿宋" w:eastAsia="仿宋" w:cs="仿宋"/>
          <w:spacing w:val="-6"/>
          <w:sz w:val="32"/>
          <w:szCs w:val="32"/>
        </w:rPr>
      </w:pPr>
      <w:r>
        <w:rPr>
          <w:rFonts w:ascii="仿宋" w:hAnsi="仿宋" w:eastAsia="仿宋" w:cs="仿宋"/>
          <w:b/>
          <w:bCs/>
          <w:spacing w:val="-9"/>
          <w:sz w:val="32"/>
          <w:szCs w:val="32"/>
        </w:rPr>
        <w:t>3.药材种质资源管理</w:t>
      </w:r>
      <w:r>
        <w:rPr>
          <w:rFonts w:hint="eastAsia" w:ascii="仿宋" w:hAnsi="仿宋" w:eastAsia="仿宋" w:cs="仿宋"/>
          <w:b/>
          <w:bCs/>
          <w:spacing w:val="-9"/>
          <w:sz w:val="32"/>
          <w:szCs w:val="32"/>
          <w:lang w:eastAsia="zh-CN"/>
        </w:rPr>
        <w:t>。</w:t>
      </w:r>
      <w:r>
        <w:rPr>
          <w:rFonts w:ascii="仿宋" w:hAnsi="仿宋" w:eastAsia="仿宋" w:cs="仿宋"/>
          <w:spacing w:val="-6"/>
          <w:sz w:val="32"/>
          <w:szCs w:val="32"/>
        </w:rPr>
        <w:t>提供中药材品种基原、种苗繁育批次、种苗仓储等种质资源信息的采集、展示、查询、良种管理等功能，实现药材种质资源信息汇聚和数据共享。</w:t>
      </w:r>
    </w:p>
    <w:p>
      <w:pPr>
        <w:spacing w:line="540" w:lineRule="exact"/>
        <w:ind w:left="0" w:leftChars="0" w:firstLine="610" w:firstLineChars="200"/>
        <w:outlineLvl w:val="0"/>
        <w:rPr>
          <w:rFonts w:ascii="仿宋" w:hAnsi="仿宋" w:eastAsia="仿宋" w:cs="仿宋"/>
          <w:spacing w:val="-6"/>
          <w:sz w:val="32"/>
          <w:szCs w:val="32"/>
        </w:rPr>
      </w:pPr>
      <w:r>
        <w:rPr>
          <w:rFonts w:ascii="仿宋" w:hAnsi="仿宋" w:eastAsia="仿宋" w:cs="仿宋"/>
          <w:b/>
          <w:bCs/>
          <w:spacing w:val="-8"/>
          <w:sz w:val="32"/>
          <w:szCs w:val="32"/>
        </w:rPr>
        <w:t>4.药材产地初加工管理</w:t>
      </w:r>
      <w:r>
        <w:rPr>
          <w:rFonts w:hint="eastAsia" w:ascii="仿宋" w:hAnsi="仿宋" w:eastAsia="仿宋" w:cs="仿宋"/>
          <w:b/>
          <w:bCs/>
          <w:spacing w:val="-8"/>
          <w:sz w:val="32"/>
          <w:szCs w:val="32"/>
          <w:lang w:eastAsia="zh-CN"/>
        </w:rPr>
        <w:t>。</w:t>
      </w:r>
      <w:r>
        <w:rPr>
          <w:rFonts w:ascii="仿宋" w:hAnsi="仿宋" w:eastAsia="仿宋" w:cs="仿宋"/>
          <w:spacing w:val="-6"/>
          <w:sz w:val="32"/>
          <w:szCs w:val="32"/>
        </w:rPr>
        <w:t>完善鲜药材入库、初加工、包装、药材商品库存、库房巡查、 养护记录、药材发运等数据采集，通过物联网监控加工流程，按批次进行药材质量检测并形成报告，生成追溯信息并赋码管理。</w:t>
      </w:r>
    </w:p>
    <w:p>
      <w:pPr>
        <w:spacing w:line="540" w:lineRule="exact"/>
        <w:ind w:left="0" w:leftChars="0" w:firstLine="582" w:firstLineChars="192"/>
        <w:outlineLvl w:val="0"/>
        <w:rPr>
          <w:rFonts w:ascii="仿宋" w:hAnsi="仿宋" w:eastAsia="仿宋" w:cs="仿宋"/>
          <w:spacing w:val="-6"/>
          <w:sz w:val="32"/>
          <w:szCs w:val="32"/>
        </w:rPr>
      </w:pPr>
      <w:r>
        <w:rPr>
          <w:rFonts w:ascii="仿宋" w:hAnsi="仿宋" w:eastAsia="仿宋" w:cs="仿宋"/>
          <w:b/>
          <w:bCs/>
          <w:spacing w:val="-9"/>
          <w:sz w:val="32"/>
          <w:szCs w:val="32"/>
        </w:rPr>
        <w:t>5.公共信息服务</w:t>
      </w:r>
      <w:r>
        <w:rPr>
          <w:rFonts w:hint="eastAsia" w:ascii="仿宋" w:hAnsi="仿宋" w:eastAsia="仿宋" w:cs="仿宋"/>
          <w:b/>
          <w:bCs/>
          <w:spacing w:val="-9"/>
          <w:sz w:val="32"/>
          <w:szCs w:val="32"/>
          <w:lang w:eastAsia="zh-CN"/>
        </w:rPr>
        <w:t>。</w:t>
      </w:r>
      <w:r>
        <w:rPr>
          <w:rFonts w:ascii="仿宋" w:hAnsi="仿宋" w:eastAsia="仿宋" w:cs="仿宋"/>
          <w:spacing w:val="-6"/>
          <w:sz w:val="32"/>
          <w:szCs w:val="32"/>
        </w:rPr>
        <w:t>引导品牌企业建设企业展示中心，通过数字药园、视频、VR等形式展示企业数字化建设成果和宣传企业文化。鼓励开展药材企业产销对接，建设药材田间操作关键技术环节直播基地或技术规程视频化。</w:t>
      </w:r>
    </w:p>
    <w:p>
      <w:pPr>
        <w:spacing w:line="540" w:lineRule="exact"/>
        <w:ind w:left="0" w:leftChars="0" w:firstLine="595" w:firstLineChars="195"/>
        <w:outlineLvl w:val="0"/>
        <w:rPr>
          <w:rFonts w:ascii="仿宋" w:hAnsi="仿宋" w:eastAsia="仿宋" w:cs="仿宋"/>
          <w:spacing w:val="-6"/>
          <w:sz w:val="32"/>
          <w:szCs w:val="32"/>
        </w:rPr>
      </w:pPr>
      <w:r>
        <w:rPr>
          <w:rFonts w:ascii="仿宋" w:hAnsi="仿宋" w:eastAsia="仿宋" w:cs="仿宋"/>
          <w:b/>
          <w:bCs/>
          <w:spacing w:val="-8"/>
          <w:sz w:val="32"/>
          <w:szCs w:val="32"/>
        </w:rPr>
        <w:t>6.成果展示中心</w:t>
      </w:r>
      <w:r>
        <w:rPr>
          <w:rFonts w:hint="eastAsia" w:ascii="仿宋" w:hAnsi="仿宋" w:eastAsia="仿宋" w:cs="仿宋"/>
          <w:b/>
          <w:bCs/>
          <w:spacing w:val="-8"/>
          <w:sz w:val="32"/>
          <w:szCs w:val="32"/>
          <w:lang w:eastAsia="zh-CN"/>
        </w:rPr>
        <w:t>。</w:t>
      </w:r>
      <w:r>
        <w:rPr>
          <w:rFonts w:ascii="仿宋" w:hAnsi="仿宋" w:eastAsia="仿宋" w:cs="仿宋"/>
          <w:spacing w:val="-6"/>
          <w:sz w:val="32"/>
          <w:szCs w:val="32"/>
        </w:rPr>
        <w:t>建设不少于10平方米的展室，配备 LED全彩屏或者其他显示设备(不小于55寸液晶屏)。制作企业宣传资料，在药材示范基地树立“</w:t>
      </w:r>
      <w:r>
        <w:rPr>
          <w:rFonts w:hint="eastAsia" w:ascii="仿宋" w:hAnsi="仿宋" w:eastAsia="仿宋" w:cs="仿宋"/>
          <w:spacing w:val="-6"/>
          <w:sz w:val="32"/>
          <w:szCs w:val="32"/>
          <w:lang w:eastAsia="zh-CN"/>
        </w:rPr>
        <w:t>三明市</w:t>
      </w:r>
      <w:r>
        <w:rPr>
          <w:rFonts w:ascii="仿宋" w:hAnsi="仿宋" w:eastAsia="仿宋" w:cs="仿宋"/>
          <w:spacing w:val="-6"/>
          <w:sz w:val="32"/>
          <w:szCs w:val="32"/>
        </w:rPr>
        <w:t>全程可追溯中药材规范化生产示范基地”宣传牌(2.5米*3.5米)。</w:t>
      </w:r>
    </w:p>
    <w:p>
      <w:pPr>
        <w:pStyle w:val="2"/>
        <w:spacing w:before="122" w:line="660" w:lineRule="exact"/>
        <w:ind w:firstLine="602" w:firstLineChars="200"/>
        <w:rPr>
          <w:sz w:val="32"/>
          <w:szCs w:val="32"/>
        </w:rPr>
      </w:pPr>
      <w:r>
        <w:rPr>
          <w:b/>
          <w:bCs/>
          <w:spacing w:val="-10"/>
          <w:position w:val="25"/>
          <w:sz w:val="32"/>
          <w:szCs w:val="32"/>
        </w:rPr>
        <w:t>三、软硬件配置清单</w:t>
      </w:r>
    </w:p>
    <w:p>
      <w:pPr>
        <w:pStyle w:val="2"/>
        <w:spacing w:before="1" w:line="219" w:lineRule="auto"/>
        <w:ind w:firstLine="630" w:firstLineChars="200"/>
        <w:rPr>
          <w:sz w:val="32"/>
          <w:szCs w:val="32"/>
        </w:rPr>
      </w:pPr>
      <w:r>
        <w:rPr>
          <w:b/>
          <w:bCs/>
          <w:spacing w:val="-3"/>
          <w:sz w:val="32"/>
          <w:szCs w:val="32"/>
        </w:rPr>
        <w:t>1.软件指标</w:t>
      </w:r>
    </w:p>
    <w:p>
      <w:pPr>
        <w:spacing w:line="26" w:lineRule="exact"/>
      </w:pPr>
    </w:p>
    <w:tbl>
      <w:tblPr>
        <w:tblStyle w:val="3"/>
        <w:tblW w:w="10313" w:type="dxa"/>
        <w:tblInd w:w="-8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088"/>
        <w:gridCol w:w="76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575" w:type="dxa"/>
          </w:tcPr>
          <w:p>
            <w:pPr>
              <w:pStyle w:val="6"/>
              <w:spacing w:before="171" w:line="219" w:lineRule="auto"/>
              <w:ind w:left="558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软件</w:t>
            </w:r>
          </w:p>
        </w:tc>
        <w:tc>
          <w:tcPr>
            <w:tcW w:w="1088" w:type="dxa"/>
          </w:tcPr>
          <w:p>
            <w:pPr>
              <w:pStyle w:val="6"/>
              <w:spacing w:before="175" w:line="223" w:lineRule="auto"/>
              <w:ind w:left="135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配置</w:t>
            </w:r>
          </w:p>
        </w:tc>
        <w:tc>
          <w:tcPr>
            <w:tcW w:w="7650" w:type="dxa"/>
          </w:tcPr>
          <w:p>
            <w:pPr>
              <w:pStyle w:val="6"/>
              <w:spacing w:before="171" w:line="219" w:lineRule="auto"/>
              <w:ind w:left="3036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参数指标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75" w:type="dxa"/>
          </w:tcPr>
          <w:p>
            <w:pPr>
              <w:spacing w:line="269" w:lineRule="auto"/>
              <w:rPr>
                <w:rFonts w:ascii="Calibri" w:hAnsi="Calibri" w:eastAsia="黑体" w:cs="Times New Roman"/>
                <w:snapToGrid/>
                <w:color w:val="auto"/>
                <w:kern w:val="2"/>
                <w:lang w:eastAsia="zh-CN"/>
              </w:rPr>
            </w:pPr>
          </w:p>
          <w:p>
            <w:pPr>
              <w:spacing w:line="270" w:lineRule="auto"/>
              <w:rPr>
                <w:rFonts w:ascii="Calibri" w:hAnsi="Calibri" w:eastAsia="黑体" w:cs="Times New Roman"/>
                <w:snapToGrid/>
                <w:color w:val="auto"/>
                <w:kern w:val="2"/>
                <w:lang w:eastAsia="zh-CN"/>
              </w:rPr>
            </w:pPr>
          </w:p>
          <w:p>
            <w:pPr>
              <w:spacing w:line="270" w:lineRule="auto"/>
              <w:rPr>
                <w:rFonts w:ascii="Calibri" w:hAnsi="Calibri" w:eastAsia="黑体" w:cs="Times New Roman"/>
                <w:snapToGrid/>
                <w:color w:val="auto"/>
                <w:kern w:val="2"/>
                <w:lang w:eastAsia="zh-CN"/>
              </w:rPr>
            </w:pPr>
          </w:p>
          <w:p>
            <w:pPr>
              <w:spacing w:line="270" w:lineRule="auto"/>
              <w:rPr>
                <w:rFonts w:ascii="Calibri" w:hAnsi="Calibri" w:eastAsia="黑体" w:cs="Times New Roman"/>
                <w:snapToGrid/>
                <w:color w:val="auto"/>
                <w:kern w:val="2"/>
                <w:lang w:eastAsia="zh-CN"/>
              </w:rPr>
            </w:pPr>
          </w:p>
          <w:p>
            <w:pPr>
              <w:spacing w:line="270" w:lineRule="auto"/>
              <w:rPr>
                <w:rFonts w:ascii="Calibri" w:hAnsi="Calibri" w:eastAsia="黑体" w:cs="Times New Roman"/>
                <w:snapToGrid/>
                <w:color w:val="auto"/>
                <w:kern w:val="2"/>
                <w:lang w:eastAsia="zh-CN"/>
              </w:rPr>
            </w:pPr>
          </w:p>
          <w:p>
            <w:pPr>
              <w:pStyle w:val="6"/>
              <w:spacing w:before="78" w:line="219" w:lineRule="auto"/>
              <w:ind w:left="198"/>
              <w:rPr>
                <w:rFonts w:ascii="Calibri" w:hAnsi="Calibri" w:eastAsia="黑体" w:cs="Times New Roman"/>
                <w:snapToGrid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eastAsia="黑体" w:cs="Times New Roman"/>
                <w:snapToGrid/>
                <w:color w:val="auto"/>
                <w:kern w:val="2"/>
                <w:sz w:val="21"/>
                <w:szCs w:val="21"/>
                <w:lang w:eastAsia="zh-CN"/>
              </w:rPr>
              <w:t>中药材生产</w:t>
            </w:r>
          </w:p>
          <w:p>
            <w:pPr>
              <w:pStyle w:val="6"/>
              <w:spacing w:before="66" w:line="219" w:lineRule="auto"/>
              <w:ind w:left="98"/>
              <w:rPr>
                <w:rFonts w:ascii="Calibri" w:hAnsi="Calibri" w:eastAsia="黑体" w:cs="Times New Roman"/>
                <w:snapToGrid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eastAsia="黑体" w:cs="Times New Roman"/>
                <w:snapToGrid/>
                <w:color w:val="auto"/>
                <w:kern w:val="2"/>
                <w:sz w:val="21"/>
                <w:szCs w:val="21"/>
                <w:lang w:eastAsia="zh-CN"/>
              </w:rPr>
              <w:t>管 理 溯 源</w:t>
            </w:r>
          </w:p>
          <w:p>
            <w:pPr>
              <w:pStyle w:val="6"/>
              <w:spacing w:before="66" w:line="221" w:lineRule="auto"/>
              <w:ind w:left="258"/>
              <w:rPr>
                <w:rFonts w:ascii="Calibri" w:hAnsi="Calibri" w:eastAsia="黑体" w:cs="Times New Roman"/>
                <w:snapToGrid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eastAsia="黑体" w:cs="Times New Roman"/>
                <w:snapToGrid/>
                <w:color w:val="auto"/>
                <w:kern w:val="2"/>
                <w:sz w:val="21"/>
                <w:szCs w:val="21"/>
                <w:lang w:eastAsia="zh-CN"/>
              </w:rPr>
              <w:t>(GAP)系统</w:t>
            </w:r>
          </w:p>
        </w:tc>
        <w:tc>
          <w:tcPr>
            <w:tcW w:w="1088" w:type="dxa"/>
          </w:tcPr>
          <w:p>
            <w:pPr>
              <w:spacing w:line="278" w:lineRule="auto"/>
              <w:rPr>
                <w:rFonts w:ascii="Calibri" w:hAnsi="Calibri" w:eastAsia="黑体" w:cs="Times New Roman"/>
                <w:snapToGrid/>
                <w:color w:val="auto"/>
                <w:kern w:val="2"/>
                <w:lang w:eastAsia="zh-CN"/>
              </w:rPr>
            </w:pPr>
          </w:p>
          <w:p>
            <w:pPr>
              <w:spacing w:line="278" w:lineRule="auto"/>
              <w:rPr>
                <w:rFonts w:ascii="Calibri" w:hAnsi="Calibri" w:eastAsia="黑体" w:cs="Times New Roman"/>
                <w:snapToGrid/>
                <w:color w:val="auto"/>
                <w:kern w:val="2"/>
                <w:lang w:eastAsia="zh-CN"/>
              </w:rPr>
            </w:pPr>
          </w:p>
          <w:p>
            <w:pPr>
              <w:spacing w:line="278" w:lineRule="auto"/>
              <w:rPr>
                <w:rFonts w:ascii="Calibri" w:hAnsi="Calibri" w:eastAsia="黑体" w:cs="Times New Roman"/>
                <w:snapToGrid/>
                <w:color w:val="auto"/>
                <w:kern w:val="2"/>
                <w:lang w:eastAsia="zh-CN"/>
              </w:rPr>
            </w:pPr>
          </w:p>
          <w:p>
            <w:pPr>
              <w:spacing w:line="278" w:lineRule="auto"/>
              <w:rPr>
                <w:rFonts w:ascii="Calibri" w:hAnsi="Calibri" w:eastAsia="黑体" w:cs="Times New Roman"/>
                <w:snapToGrid/>
                <w:color w:val="auto"/>
                <w:kern w:val="2"/>
                <w:lang w:eastAsia="zh-CN"/>
              </w:rPr>
            </w:pPr>
          </w:p>
          <w:p>
            <w:pPr>
              <w:spacing w:line="278" w:lineRule="auto"/>
              <w:rPr>
                <w:rFonts w:ascii="Calibri" w:hAnsi="Calibri" w:eastAsia="黑体" w:cs="Times New Roman"/>
                <w:snapToGrid/>
                <w:color w:val="auto"/>
                <w:kern w:val="2"/>
                <w:lang w:eastAsia="zh-CN"/>
              </w:rPr>
            </w:pPr>
          </w:p>
          <w:p>
            <w:pPr>
              <w:spacing w:line="279" w:lineRule="auto"/>
              <w:rPr>
                <w:rFonts w:ascii="Calibri" w:hAnsi="Calibri" w:eastAsia="黑体" w:cs="Times New Roman"/>
                <w:snapToGrid/>
                <w:color w:val="auto"/>
                <w:kern w:val="2"/>
                <w:lang w:eastAsia="zh-CN"/>
              </w:rPr>
            </w:pPr>
          </w:p>
          <w:p>
            <w:pPr>
              <w:pStyle w:val="6"/>
              <w:spacing w:before="78" w:line="220" w:lineRule="auto"/>
              <w:ind w:left="135"/>
              <w:rPr>
                <w:rFonts w:ascii="Calibri" w:hAnsi="Calibri" w:eastAsia="黑体" w:cs="Times New Roman"/>
                <w:snapToGrid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eastAsia="黑体" w:cs="Times New Roman"/>
                <w:snapToGrid/>
                <w:color w:val="auto"/>
                <w:kern w:val="2"/>
                <w:sz w:val="21"/>
                <w:szCs w:val="21"/>
                <w:lang w:eastAsia="zh-CN"/>
              </w:rPr>
              <w:t>标配</w:t>
            </w:r>
          </w:p>
        </w:tc>
        <w:tc>
          <w:tcPr>
            <w:tcW w:w="7650" w:type="dxa"/>
          </w:tcPr>
          <w:p>
            <w:pPr>
              <w:pStyle w:val="6"/>
              <w:spacing w:before="76"/>
              <w:ind w:right="55"/>
              <w:rPr>
                <w:rFonts w:ascii="Calibri" w:hAnsi="Calibri" w:eastAsia="黑体" w:cs="Times New Roman"/>
                <w:snapToGrid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eastAsia="黑体" w:cs="Times New Roman"/>
                <w:snapToGrid/>
                <w:color w:val="auto"/>
                <w:kern w:val="2"/>
                <w:sz w:val="21"/>
                <w:szCs w:val="21"/>
                <w:lang w:eastAsia="zh-CN"/>
              </w:rPr>
              <w:t>1.软件系统应满足2022版国家《中药材生产质量管理规范》(GAP) 技术指标中有关中药材生产企业涉及的所有项要求；</w:t>
            </w:r>
          </w:p>
          <w:p>
            <w:pPr>
              <w:pStyle w:val="6"/>
              <w:spacing w:before="43" w:line="255" w:lineRule="auto"/>
              <w:ind w:left="36"/>
              <w:jc w:val="both"/>
              <w:rPr>
                <w:rFonts w:ascii="Calibri" w:hAnsi="Calibri" w:eastAsia="黑体" w:cs="Times New Roman"/>
                <w:snapToGrid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eastAsia="黑体" w:cs="Times New Roman"/>
                <w:snapToGrid/>
                <w:color w:val="auto"/>
                <w:kern w:val="2"/>
                <w:sz w:val="21"/>
                <w:szCs w:val="21"/>
                <w:lang w:eastAsia="zh-CN"/>
              </w:rPr>
              <w:t>2.满足本建设规范的要求，包括：基于GIS系统实现药材基地定位， 围绕基地地块、种质基原、田间生产、投入品、采收、初加工、包装、仓储发运的药材全程规范管理，针对环境参数、农情长势等实  现数据自动采集、监控和预警，并可以支持设施大棚、水肥设备等联动控制、智能化管理等；</w:t>
            </w:r>
          </w:p>
          <w:p>
            <w:pPr>
              <w:pStyle w:val="6"/>
              <w:spacing w:before="1" w:line="218" w:lineRule="auto"/>
              <w:rPr>
                <w:rFonts w:ascii="Calibri" w:hAnsi="Calibri" w:eastAsia="黑体" w:cs="Times New Roman"/>
                <w:snapToGrid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eastAsia="黑体" w:cs="Times New Roman"/>
                <w:snapToGrid/>
                <w:color w:val="auto"/>
                <w:kern w:val="2"/>
                <w:sz w:val="21"/>
                <w:szCs w:val="21"/>
                <w:lang w:eastAsia="zh-CN"/>
              </w:rPr>
              <w:t>3.符合中药材行业追溯标准。</w:t>
            </w:r>
          </w:p>
          <w:p>
            <w:pPr>
              <w:pStyle w:val="6"/>
              <w:spacing w:before="66" w:line="242" w:lineRule="auto"/>
              <w:ind w:left="135" w:right="48" w:hanging="99"/>
              <w:rPr>
                <w:rFonts w:ascii="Calibri" w:hAnsi="Calibri" w:eastAsia="黑体" w:cs="Times New Roman"/>
                <w:snapToGrid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eastAsia="黑体" w:cs="Times New Roman"/>
                <w:snapToGrid/>
                <w:color w:val="auto"/>
                <w:kern w:val="2"/>
                <w:sz w:val="21"/>
                <w:szCs w:val="21"/>
                <w:lang w:eastAsia="zh-CN"/>
              </w:rPr>
              <w:t>4.在满足规范要求的基础上，鼓励各中药材生产企业可以定制个性化的展示；</w:t>
            </w:r>
          </w:p>
          <w:p>
            <w:pPr>
              <w:pStyle w:val="6"/>
              <w:spacing w:before="50" w:line="192" w:lineRule="auto"/>
              <w:rPr>
                <w:rFonts w:ascii="Calibri" w:hAnsi="Calibri" w:eastAsia="黑体" w:cs="Times New Roman"/>
                <w:snapToGrid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eastAsia="黑体" w:cs="Times New Roman"/>
                <w:snapToGrid/>
                <w:color w:val="auto"/>
                <w:kern w:val="2"/>
                <w:sz w:val="21"/>
                <w:szCs w:val="21"/>
                <w:lang w:eastAsia="zh-CN"/>
              </w:rPr>
              <w:t>5.需要充分考虑系统及数据的安全性。</w:t>
            </w:r>
          </w:p>
        </w:tc>
      </w:tr>
    </w:tbl>
    <w:p/>
    <w:tbl>
      <w:tblPr>
        <w:tblStyle w:val="3"/>
        <w:tblW w:w="10320" w:type="dxa"/>
        <w:tblInd w:w="-74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"/>
        <w:gridCol w:w="975"/>
        <w:gridCol w:w="690"/>
        <w:gridCol w:w="1425"/>
        <w:gridCol w:w="3795"/>
        <w:gridCol w:w="1020"/>
        <w:gridCol w:w="525"/>
        <w:gridCol w:w="510"/>
        <w:gridCol w:w="9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</w:trPr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pStyle w:val="8"/>
            </w:pPr>
            <w:r>
              <w:rPr>
                <w:rFonts w:hint="eastAsia"/>
              </w:rPr>
              <w:t>序号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pStyle w:val="8"/>
            </w:pPr>
            <w:r>
              <w:rPr>
                <w:rFonts w:hint="eastAsia"/>
              </w:rPr>
              <w:t>设备</w:t>
            </w:r>
          </w:p>
        </w:tc>
        <w:tc>
          <w:tcPr>
            <w:tcW w:w="21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8"/>
            </w:pPr>
            <w:r>
              <w:rPr>
                <w:rFonts w:hint="eastAsia"/>
              </w:rPr>
              <w:t>配置</w:t>
            </w:r>
          </w:p>
        </w:tc>
        <w:tc>
          <w:tcPr>
            <w:tcW w:w="48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pStyle w:val="8"/>
            </w:pPr>
            <w:r>
              <w:rPr>
                <w:rFonts w:hint="eastAsia"/>
              </w:rPr>
              <w:t>基本参数标准/功能要求</w:t>
            </w: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pStyle w:val="8"/>
            </w:pPr>
            <w:r>
              <w:rPr>
                <w:rFonts w:hint="eastAsia"/>
              </w:rPr>
              <w:t>单位</w:t>
            </w:r>
          </w:p>
        </w:tc>
        <w:tc>
          <w:tcPr>
            <w:tcW w:w="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pStyle w:val="8"/>
            </w:pPr>
            <w:r>
              <w:rPr>
                <w:rFonts w:hint="eastAsia"/>
              </w:rPr>
              <w:t>数量</w:t>
            </w:r>
          </w:p>
        </w:tc>
        <w:tc>
          <w:tcPr>
            <w:tcW w:w="9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pStyle w:val="8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</w:pPr>
            <w:r>
              <w:rPr>
                <w:rFonts w:hint="eastAsia"/>
              </w:rPr>
              <w:t>环境监测与控制设备-农业气象站</w:t>
            </w:r>
          </w:p>
        </w:tc>
        <w:tc>
          <w:tcPr>
            <w:tcW w:w="69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</w:pPr>
            <w:r>
              <w:rPr>
                <w:rFonts w:hint="eastAsia"/>
              </w:rPr>
              <w:t>高集成气象站（六要素+土壤温湿度、pH值）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</w:pPr>
            <w:r>
              <w:rPr>
                <w:rFonts w:hint="eastAsia"/>
              </w:rPr>
              <w:t>光照传感器</w:t>
            </w:r>
          </w:p>
        </w:tc>
        <w:tc>
          <w:tcPr>
            <w:tcW w:w="48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</w:pPr>
            <w:r>
              <w:rPr>
                <w:rFonts w:hint="eastAsia"/>
              </w:rPr>
              <w:t>测量范围：0～200000Lux,精度：±5%；</w:t>
            </w:r>
          </w:p>
        </w:tc>
        <w:tc>
          <w:tcPr>
            <w:tcW w:w="5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jc w:val="center"/>
            </w:pPr>
            <w:r>
              <w:rPr>
                <w:rFonts w:hint="eastAsia"/>
              </w:rPr>
              <w:t>套</w:t>
            </w:r>
          </w:p>
        </w:tc>
        <w:tc>
          <w:tcPr>
            <w:tcW w:w="5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1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jc w:val="center"/>
            </w:pPr>
            <w:r>
              <w:rPr>
                <w:rFonts w:hint="eastAsia"/>
              </w:rPr>
              <w:t>标配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4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</w:pPr>
          </w:p>
        </w:tc>
        <w:tc>
          <w:tcPr>
            <w:tcW w:w="9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</w:pPr>
          </w:p>
        </w:tc>
        <w:tc>
          <w:tcPr>
            <w:tcW w:w="6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</w:pPr>
            <w:r>
              <w:rPr>
                <w:rFonts w:hint="eastAsia"/>
              </w:rPr>
              <w:t>空气温湿度传感器</w:t>
            </w:r>
          </w:p>
        </w:tc>
        <w:tc>
          <w:tcPr>
            <w:tcW w:w="48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</w:pPr>
            <w:r>
              <w:rPr>
                <w:rFonts w:hint="eastAsia"/>
              </w:rPr>
              <w:t>空气温度测量范围： -40℃~80℃;精度：± 0.3℃;空气湿度测量范围：0～100%RH,精度：± 2%；</w:t>
            </w:r>
          </w:p>
        </w:tc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</w:pPr>
          </w:p>
        </w:tc>
        <w:tc>
          <w:tcPr>
            <w:tcW w:w="5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</w:pPr>
          </w:p>
        </w:tc>
        <w:tc>
          <w:tcPr>
            <w:tcW w:w="9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</w:pPr>
          </w:p>
        </w:tc>
        <w:tc>
          <w:tcPr>
            <w:tcW w:w="9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</w:pPr>
          </w:p>
        </w:tc>
        <w:tc>
          <w:tcPr>
            <w:tcW w:w="6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</w:pPr>
            <w:r>
              <w:rPr>
                <w:rFonts w:hint="eastAsia"/>
              </w:rPr>
              <w:t>风速风向传感器</w:t>
            </w:r>
          </w:p>
        </w:tc>
        <w:tc>
          <w:tcPr>
            <w:tcW w:w="48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</w:pPr>
            <w:r>
              <w:rPr>
                <w:rFonts w:hint="eastAsia"/>
              </w:rPr>
              <w:t>风速测量范围：0～70m/s,精度：±0.3m/s;风向测量范围：0～360°,精度：±2%；</w:t>
            </w:r>
          </w:p>
        </w:tc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</w:pPr>
          </w:p>
        </w:tc>
        <w:tc>
          <w:tcPr>
            <w:tcW w:w="5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</w:pPr>
          </w:p>
        </w:tc>
        <w:tc>
          <w:tcPr>
            <w:tcW w:w="9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</w:pPr>
          </w:p>
        </w:tc>
        <w:tc>
          <w:tcPr>
            <w:tcW w:w="9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</w:pPr>
          </w:p>
        </w:tc>
        <w:tc>
          <w:tcPr>
            <w:tcW w:w="6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</w:pPr>
            <w:r>
              <w:rPr>
                <w:rFonts w:hint="eastAsia"/>
              </w:rPr>
              <w:t>雨量传感器</w:t>
            </w:r>
          </w:p>
        </w:tc>
        <w:tc>
          <w:tcPr>
            <w:tcW w:w="48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</w:pPr>
            <w:r>
              <w:rPr>
                <w:rFonts w:hint="eastAsia"/>
              </w:rPr>
              <w:t>测量范围：0mm～8mm/min,精度：±2%；</w:t>
            </w:r>
          </w:p>
        </w:tc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</w:pPr>
          </w:p>
        </w:tc>
        <w:tc>
          <w:tcPr>
            <w:tcW w:w="5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</w:pPr>
          </w:p>
        </w:tc>
        <w:tc>
          <w:tcPr>
            <w:tcW w:w="9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</w:pPr>
          </w:p>
        </w:tc>
        <w:tc>
          <w:tcPr>
            <w:tcW w:w="9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</w:pPr>
          </w:p>
        </w:tc>
        <w:tc>
          <w:tcPr>
            <w:tcW w:w="6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</w:pPr>
            <w:r>
              <w:rPr>
                <w:rFonts w:hint="eastAsia"/>
              </w:rPr>
              <w:t>土壤PH传感器</w:t>
            </w:r>
          </w:p>
        </w:tc>
        <w:tc>
          <w:tcPr>
            <w:tcW w:w="48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</w:pPr>
            <w:r>
              <w:rPr>
                <w:rFonts w:hint="eastAsia"/>
              </w:rPr>
              <w:t>金属探针，测量范围：0～14,精度：±0.1；</w:t>
            </w:r>
          </w:p>
        </w:tc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</w:pPr>
          </w:p>
        </w:tc>
        <w:tc>
          <w:tcPr>
            <w:tcW w:w="5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</w:pPr>
          </w:p>
        </w:tc>
        <w:tc>
          <w:tcPr>
            <w:tcW w:w="9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</w:pPr>
          </w:p>
        </w:tc>
        <w:tc>
          <w:tcPr>
            <w:tcW w:w="9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</w:pPr>
          </w:p>
        </w:tc>
        <w:tc>
          <w:tcPr>
            <w:tcW w:w="6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</w:pPr>
            <w:r>
              <w:rPr>
                <w:rFonts w:hint="eastAsia"/>
              </w:rPr>
              <w:t>土壤温湿度传感器</w:t>
            </w:r>
          </w:p>
        </w:tc>
        <w:tc>
          <w:tcPr>
            <w:tcW w:w="48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</w:pPr>
            <w:r>
              <w:rPr>
                <w:rFonts w:hint="eastAsia"/>
              </w:rPr>
              <w:t>土壤温度测量范围： -40℃~80℃,精度：± 1%;土壤湿度测量范围：0～100%,精度：±3%；</w:t>
            </w:r>
          </w:p>
        </w:tc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</w:pPr>
          </w:p>
        </w:tc>
        <w:tc>
          <w:tcPr>
            <w:tcW w:w="5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</w:pPr>
          </w:p>
        </w:tc>
        <w:tc>
          <w:tcPr>
            <w:tcW w:w="9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</w:pPr>
          </w:p>
        </w:tc>
        <w:tc>
          <w:tcPr>
            <w:tcW w:w="9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</w:pPr>
          </w:p>
        </w:tc>
        <w:tc>
          <w:tcPr>
            <w:tcW w:w="6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</w:pPr>
            <w:r>
              <w:rPr>
                <w:rFonts w:hint="eastAsia"/>
              </w:rPr>
              <w:t>百叶箱</w:t>
            </w:r>
          </w:p>
        </w:tc>
        <w:tc>
          <w:tcPr>
            <w:tcW w:w="48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</w:pPr>
            <w:r>
              <w:rPr>
                <w:rFonts w:hint="eastAsia"/>
              </w:rPr>
              <w:t>5层</w:t>
            </w:r>
          </w:p>
        </w:tc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</w:pPr>
          </w:p>
        </w:tc>
        <w:tc>
          <w:tcPr>
            <w:tcW w:w="5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</w:pPr>
          </w:p>
        </w:tc>
        <w:tc>
          <w:tcPr>
            <w:tcW w:w="9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9" w:hRule="atLeast"/>
        </w:trPr>
        <w:tc>
          <w:tcPr>
            <w:tcW w:w="4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</w:pPr>
          </w:p>
        </w:tc>
        <w:tc>
          <w:tcPr>
            <w:tcW w:w="9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</w:pPr>
          </w:p>
        </w:tc>
        <w:tc>
          <w:tcPr>
            <w:tcW w:w="6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</w:pPr>
            <w:r>
              <w:rPr>
                <w:rFonts w:hint="eastAsia"/>
              </w:rPr>
              <w:t>数据采集柜</w:t>
            </w:r>
          </w:p>
        </w:tc>
        <w:tc>
          <w:tcPr>
            <w:tcW w:w="48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</w:pPr>
            <w:r>
              <w:rPr>
                <w:rFonts w:hint="eastAsia"/>
              </w:rPr>
              <w:t>白色喷漆防水箱，及箱内空气开关，开关电源，导轨等配件，电柜尺寸400*500*200  （1）耐高低温，耐强电磁干扰。采用完备的系统保护机制和防掉线机制；（2）接口：可接入16个485传感终端，一路RS232接口。（3）4G通讯。低功耗设计，含三年流量；（4）故障自动恢复功能。（5）电量检测功能。</w:t>
            </w:r>
          </w:p>
        </w:tc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</w:pPr>
          </w:p>
        </w:tc>
        <w:tc>
          <w:tcPr>
            <w:tcW w:w="5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</w:pPr>
          </w:p>
        </w:tc>
        <w:tc>
          <w:tcPr>
            <w:tcW w:w="9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</w:pPr>
          </w:p>
        </w:tc>
        <w:tc>
          <w:tcPr>
            <w:tcW w:w="9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</w:pPr>
          </w:p>
        </w:tc>
        <w:tc>
          <w:tcPr>
            <w:tcW w:w="6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</w:pPr>
            <w:r>
              <w:rPr>
                <w:rFonts w:hint="eastAsia"/>
              </w:rPr>
              <w:t>叶子款立杆</w:t>
            </w:r>
          </w:p>
        </w:tc>
        <w:tc>
          <w:tcPr>
            <w:tcW w:w="48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</w:pPr>
            <w:r>
              <w:rPr>
                <w:rFonts w:hint="eastAsia"/>
              </w:rPr>
              <w:t>含2层叶子横臂、立杆、地笼、避雷针，雨量桶安装支架。</w:t>
            </w:r>
          </w:p>
        </w:tc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</w:pPr>
          </w:p>
        </w:tc>
        <w:tc>
          <w:tcPr>
            <w:tcW w:w="5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</w:pPr>
          </w:p>
        </w:tc>
        <w:tc>
          <w:tcPr>
            <w:tcW w:w="9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</w:pPr>
          </w:p>
        </w:tc>
        <w:tc>
          <w:tcPr>
            <w:tcW w:w="9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</w:pPr>
          </w:p>
        </w:tc>
        <w:tc>
          <w:tcPr>
            <w:tcW w:w="6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</w:pPr>
            <w:r>
              <w:rPr>
                <w:rFonts w:hint="eastAsia"/>
              </w:rPr>
              <w:t>防雷接地</w:t>
            </w:r>
          </w:p>
        </w:tc>
        <w:tc>
          <w:tcPr>
            <w:tcW w:w="48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</w:pPr>
            <w:r>
              <w:rPr>
                <w:rFonts w:hint="eastAsia"/>
              </w:rPr>
              <w:t>户外避雷针，不锈钢双球型，高于2m；</w:t>
            </w:r>
          </w:p>
        </w:tc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</w:pPr>
          </w:p>
        </w:tc>
        <w:tc>
          <w:tcPr>
            <w:tcW w:w="5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</w:pPr>
          </w:p>
        </w:tc>
        <w:tc>
          <w:tcPr>
            <w:tcW w:w="9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</w:pPr>
          </w:p>
        </w:tc>
        <w:tc>
          <w:tcPr>
            <w:tcW w:w="9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</w:pPr>
          </w:p>
        </w:tc>
        <w:tc>
          <w:tcPr>
            <w:tcW w:w="6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</w:pPr>
            <w:r>
              <w:rPr>
                <w:rFonts w:hint="eastAsia"/>
              </w:rPr>
              <w:t>太阳能供统</w:t>
            </w:r>
          </w:p>
        </w:tc>
        <w:tc>
          <w:tcPr>
            <w:tcW w:w="48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</w:pPr>
            <w:r>
              <w:rPr>
                <w:rFonts w:hint="eastAsia"/>
              </w:rPr>
              <w:t>太阳能供电系统：总功率≥(100W,60AH)。</w:t>
            </w:r>
          </w:p>
        </w:tc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</w:pPr>
          </w:p>
        </w:tc>
        <w:tc>
          <w:tcPr>
            <w:tcW w:w="5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</w:pPr>
          </w:p>
        </w:tc>
        <w:tc>
          <w:tcPr>
            <w:tcW w:w="9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4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</w:pPr>
          </w:p>
        </w:tc>
        <w:tc>
          <w:tcPr>
            <w:tcW w:w="69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</w:pPr>
            <w:r>
              <w:rPr>
                <w:rFonts w:hint="eastAsia"/>
              </w:rPr>
              <w:t>高集成加工车间环境监测站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</w:pPr>
            <w:r>
              <w:rPr>
                <w:rFonts w:hint="eastAsia"/>
              </w:rPr>
              <w:t>加工车间二氧化碳传感器</w:t>
            </w:r>
          </w:p>
        </w:tc>
        <w:tc>
          <w:tcPr>
            <w:tcW w:w="48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</w:pPr>
            <w:r>
              <w:rPr>
                <w:rFonts w:hint="eastAsia"/>
              </w:rPr>
              <w:t>测量浓度：0～5000ppm(不受加湿影响);精度：±(50ppm+5%)；</w:t>
            </w:r>
          </w:p>
        </w:tc>
        <w:tc>
          <w:tcPr>
            <w:tcW w:w="5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jc w:val="center"/>
            </w:pPr>
            <w:r>
              <w:rPr>
                <w:rFonts w:hint="eastAsia"/>
              </w:rPr>
              <w:t>套</w:t>
            </w:r>
          </w:p>
        </w:tc>
        <w:tc>
          <w:tcPr>
            <w:tcW w:w="5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1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jc w:val="center"/>
            </w:pPr>
            <w:r>
              <w:rPr>
                <w:rFonts w:hint="eastAsia"/>
              </w:rPr>
              <w:t>选配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4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jc w:val="center"/>
            </w:pPr>
          </w:p>
        </w:tc>
        <w:tc>
          <w:tcPr>
            <w:tcW w:w="9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</w:pPr>
          </w:p>
        </w:tc>
        <w:tc>
          <w:tcPr>
            <w:tcW w:w="6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</w:pPr>
            <w:r>
              <w:rPr>
                <w:rFonts w:hint="eastAsia"/>
              </w:rPr>
              <w:t xml:space="preserve"> 加工车间温湿度传感器：</w:t>
            </w:r>
          </w:p>
        </w:tc>
        <w:tc>
          <w:tcPr>
            <w:tcW w:w="48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</w:pPr>
            <w:r>
              <w:rPr>
                <w:rFonts w:hint="eastAsia"/>
              </w:rPr>
              <w:t>车间温度测量范围： -40℃~85℃;精度：± 0.3℃;</w:t>
            </w:r>
          </w:p>
          <w:p>
            <w:pPr>
              <w:pStyle w:val="9"/>
            </w:pPr>
            <w:r>
              <w:rPr>
                <w:rFonts w:hint="eastAsia"/>
              </w:rPr>
              <w:t>车间湿度测量范围：0～100%RH,精度：± 2%；</w:t>
            </w:r>
          </w:p>
        </w:tc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</w:pPr>
          </w:p>
        </w:tc>
        <w:tc>
          <w:tcPr>
            <w:tcW w:w="5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</w:pPr>
          </w:p>
        </w:tc>
        <w:tc>
          <w:tcPr>
            <w:tcW w:w="9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jc w:val="center"/>
            </w:pPr>
          </w:p>
        </w:tc>
        <w:tc>
          <w:tcPr>
            <w:tcW w:w="9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</w:pPr>
          </w:p>
        </w:tc>
        <w:tc>
          <w:tcPr>
            <w:tcW w:w="6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</w:pPr>
            <w:r>
              <w:rPr>
                <w:rFonts w:hint="eastAsia"/>
              </w:rPr>
              <w:t>LED屏</w:t>
            </w:r>
          </w:p>
        </w:tc>
        <w:tc>
          <w:tcPr>
            <w:tcW w:w="48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</w:pPr>
            <w:r>
              <w:rPr>
                <w:rFonts w:hint="eastAsia"/>
              </w:rPr>
              <w:t>1*0.5米的LED屏</w:t>
            </w:r>
          </w:p>
        </w:tc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</w:pPr>
          </w:p>
        </w:tc>
        <w:tc>
          <w:tcPr>
            <w:tcW w:w="5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</w:pPr>
          </w:p>
        </w:tc>
        <w:tc>
          <w:tcPr>
            <w:tcW w:w="9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4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jc w:val="center"/>
            </w:pPr>
          </w:p>
        </w:tc>
        <w:tc>
          <w:tcPr>
            <w:tcW w:w="9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</w:pPr>
          </w:p>
        </w:tc>
        <w:tc>
          <w:tcPr>
            <w:tcW w:w="6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</w:pPr>
            <w:r>
              <w:rPr>
                <w:rFonts w:hint="eastAsia"/>
              </w:rPr>
              <w:t>数据采集器</w:t>
            </w:r>
          </w:p>
        </w:tc>
        <w:tc>
          <w:tcPr>
            <w:tcW w:w="48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</w:pPr>
            <w:r>
              <w:rPr>
                <w:rFonts w:hint="eastAsia"/>
              </w:rPr>
              <w:t>采集节点（内置采集模块+4G无线模块，3年通讯费用，市电供电）（空气温湿+二氧化碳+LED）</w:t>
            </w:r>
          </w:p>
        </w:tc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</w:pPr>
          </w:p>
        </w:tc>
        <w:tc>
          <w:tcPr>
            <w:tcW w:w="5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</w:pPr>
          </w:p>
        </w:tc>
        <w:tc>
          <w:tcPr>
            <w:tcW w:w="9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4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</w:pPr>
            <w:r>
              <w:rPr>
                <w:rFonts w:hint="eastAsia"/>
              </w:rPr>
              <w:t>视频监控系统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</w:pPr>
            <w:r>
              <w:rPr>
                <w:rFonts w:hint="eastAsia"/>
              </w:rPr>
              <w:t>高清摄像机</w:t>
            </w:r>
          </w:p>
        </w:tc>
        <w:tc>
          <w:tcPr>
            <w:tcW w:w="62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</w:pPr>
            <w:r>
              <w:rPr>
                <w:rFonts w:hint="eastAsia"/>
              </w:rPr>
              <w:t>400万像素以上高清监控摄像机；（主机NVR）支持定点、定时巡航。支持采用移动式视频采集；支持智能侦测、联动 控制等。</w:t>
            </w:r>
          </w:p>
        </w:tc>
        <w:tc>
          <w:tcPr>
            <w:tcW w:w="5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jc w:val="center"/>
            </w:pPr>
            <w:r>
              <w:rPr>
                <w:rFonts w:hint="eastAsia"/>
              </w:rPr>
              <w:t>套</w:t>
            </w:r>
          </w:p>
        </w:tc>
        <w:tc>
          <w:tcPr>
            <w:tcW w:w="5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1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jc w:val="center"/>
              <w:rPr>
                <w:rFonts w:hint="eastAsia" w:eastAsia="黑体"/>
                <w:lang w:eastAsia="zh-CN"/>
              </w:rPr>
            </w:pPr>
            <w:r>
              <w:rPr>
                <w:rFonts w:hint="eastAsia"/>
                <w:lang w:eastAsia="zh-CN"/>
              </w:rPr>
              <w:t>标配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4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jc w:val="center"/>
            </w:pPr>
          </w:p>
        </w:tc>
        <w:tc>
          <w:tcPr>
            <w:tcW w:w="9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</w:pPr>
            <w:r>
              <w:rPr>
                <w:rFonts w:hint="eastAsia"/>
              </w:rPr>
              <w:t>监控主机NVR</w:t>
            </w:r>
          </w:p>
        </w:tc>
        <w:tc>
          <w:tcPr>
            <w:tcW w:w="62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</w:pPr>
            <w:r>
              <w:rPr>
                <w:rFonts w:hint="eastAsia"/>
              </w:rPr>
              <w:t>8路及以上；国产主流品牌NVR,支持GB28181接入和云存储。</w:t>
            </w:r>
          </w:p>
        </w:tc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</w:pPr>
          </w:p>
        </w:tc>
        <w:tc>
          <w:tcPr>
            <w:tcW w:w="5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</w:pPr>
          </w:p>
        </w:tc>
        <w:tc>
          <w:tcPr>
            <w:tcW w:w="9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4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jc w:val="center"/>
            </w:pPr>
          </w:p>
        </w:tc>
        <w:tc>
          <w:tcPr>
            <w:tcW w:w="9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</w:pPr>
            <w:r>
              <w:rPr>
                <w:rFonts w:hint="eastAsia"/>
              </w:rPr>
              <w:t>监控视频存储</w:t>
            </w:r>
          </w:p>
        </w:tc>
        <w:tc>
          <w:tcPr>
            <w:tcW w:w="62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rPr>
                <w:rFonts w:hint="default" w:eastAsia="黑体"/>
                <w:lang w:val="en-US" w:eastAsia="zh-CN"/>
              </w:rPr>
            </w:pPr>
            <w:r>
              <w:rPr>
                <w:rFonts w:hint="eastAsia"/>
              </w:rPr>
              <w:t>8T硬盘数据存储+云存储</w:t>
            </w:r>
            <w:r>
              <w:rPr>
                <w:rFonts w:hint="eastAsia"/>
                <w:lang w:eastAsia="zh-CN"/>
              </w:rPr>
              <w:t>，存储</w:t>
            </w:r>
            <w:r>
              <w:rPr>
                <w:rFonts w:hint="eastAsia"/>
                <w:lang w:val="en-US" w:eastAsia="zh-CN"/>
              </w:rPr>
              <w:t>2周。</w:t>
            </w:r>
          </w:p>
        </w:tc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</w:pPr>
          </w:p>
        </w:tc>
        <w:tc>
          <w:tcPr>
            <w:tcW w:w="5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</w:pPr>
          </w:p>
        </w:tc>
        <w:tc>
          <w:tcPr>
            <w:tcW w:w="9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4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</w:pPr>
            <w:r>
              <w:rPr>
                <w:rFonts w:hint="eastAsia"/>
              </w:rPr>
              <w:t>虫害测报预警</w:t>
            </w:r>
          </w:p>
          <w:p>
            <w:pPr>
              <w:pStyle w:val="9"/>
            </w:pPr>
            <w:r>
              <w:rPr>
                <w:rFonts w:hint="eastAsia"/>
              </w:rPr>
              <w:t>系统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</w:pPr>
            <w:r>
              <w:rPr>
                <w:rFonts w:hint="eastAsia"/>
              </w:rPr>
              <w:t>红外杀灯</w:t>
            </w:r>
          </w:p>
        </w:tc>
        <w:tc>
          <w:tcPr>
            <w:tcW w:w="62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</w:pPr>
            <w:r>
              <w:rPr>
                <w:rFonts w:hint="eastAsia"/>
              </w:rPr>
              <w:t>诱集光源：频振灯管(365～680nm);撞击面积：≥0.15m;光控技术：昼夜交替自动开关灯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jc w:val="center"/>
            </w:pPr>
            <w:r>
              <w:rPr>
                <w:rFonts w:hint="eastAsia"/>
              </w:rPr>
              <w:t>套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jc w:val="center"/>
            </w:pPr>
            <w:r>
              <w:rPr>
                <w:rFonts w:hint="eastAsia"/>
              </w:rPr>
              <w:t>选配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</w:pPr>
            <w:r>
              <w:rPr>
                <w:rFonts w:hint="eastAsia"/>
              </w:rPr>
              <w:t>智能仓储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</w:pPr>
            <w:r>
              <w:rPr>
                <w:rFonts w:hint="eastAsia"/>
              </w:rPr>
              <w:t>AGV小车</w:t>
            </w:r>
          </w:p>
        </w:tc>
        <w:tc>
          <w:tcPr>
            <w:tcW w:w="62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</w:pPr>
            <w:r>
              <w:rPr>
                <w:rFonts w:hint="eastAsia"/>
              </w:rPr>
              <w:t>分拣、搬运等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</w:pPr>
            <w:r>
              <w:rPr>
                <w:rFonts w:hint="eastAsia"/>
              </w:rPr>
              <w:t xml:space="preserve">  选配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4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9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</w:pPr>
            <w:r>
              <w:rPr>
                <w:rFonts w:hint="eastAsia"/>
              </w:rPr>
              <w:t>追溯设备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</w:pPr>
            <w:r>
              <w:rPr>
                <w:rFonts w:hint="eastAsia"/>
              </w:rPr>
              <w:t>手持式喷码机</w:t>
            </w:r>
          </w:p>
        </w:tc>
        <w:tc>
          <w:tcPr>
            <w:tcW w:w="62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</w:pPr>
            <w:r>
              <w:rPr>
                <w:rFonts w:hint="eastAsia"/>
              </w:rPr>
              <w:t>实现溯源码的打印和喷涂，支持二维码打印、 喷涂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jc w:val="center"/>
            </w:pPr>
            <w:r>
              <w:rPr>
                <w:rFonts w:hint="eastAsia"/>
              </w:rPr>
              <w:t>选配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4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9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</w:pPr>
            <w:r>
              <w:rPr>
                <w:rFonts w:hint="eastAsia"/>
              </w:rPr>
              <w:t>手持式扫码溯源终端</w:t>
            </w:r>
          </w:p>
        </w:tc>
        <w:tc>
          <w:tcPr>
            <w:tcW w:w="62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</w:pPr>
            <w:r>
              <w:rPr>
                <w:rFonts w:hint="eastAsia"/>
              </w:rPr>
              <w:t>内置定制化软件，实现移动式出库扫码、销售去向记录等功能。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jc w:val="center"/>
            </w:pPr>
            <w:r>
              <w:rPr>
                <w:rFonts w:hint="eastAsia"/>
              </w:rPr>
              <w:t>选配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9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</w:pPr>
            <w:r>
              <w:rPr>
                <w:rFonts w:hint="eastAsia"/>
              </w:rPr>
              <w:t>展示中心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</w:pPr>
            <w:r>
              <w:rPr>
                <w:rFonts w:hint="eastAsia"/>
              </w:rPr>
              <w:t>显示设备</w:t>
            </w:r>
          </w:p>
        </w:tc>
        <w:tc>
          <w:tcPr>
            <w:tcW w:w="62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</w:pPr>
            <w:r>
              <w:rPr>
                <w:rFonts w:hint="eastAsia"/>
              </w:rPr>
              <w:t>85英寸LCD显示屏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jc w:val="center"/>
            </w:pPr>
            <w:r>
              <w:rPr>
                <w:rFonts w:hint="eastAsia"/>
              </w:rPr>
              <w:t xml:space="preserve"> 标配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jc w:val="center"/>
            </w:pPr>
          </w:p>
        </w:tc>
        <w:tc>
          <w:tcPr>
            <w:tcW w:w="9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</w:pPr>
            <w:r>
              <w:rPr>
                <w:rFonts w:hint="eastAsia"/>
              </w:rPr>
              <w:t>操作终端</w:t>
            </w:r>
          </w:p>
        </w:tc>
        <w:tc>
          <w:tcPr>
            <w:tcW w:w="62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</w:pPr>
            <w:r>
              <w:rPr>
                <w:rFonts w:hint="eastAsia"/>
              </w:rPr>
              <w:t>用于与液晶展示屏连接，发布展示内容。I5-12450/16G/512G/集显/W11。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jc w:val="center"/>
            </w:pPr>
            <w:r>
              <w:rPr>
                <w:rFonts w:hint="eastAsia"/>
              </w:rPr>
              <w:t>标配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jc w:val="center"/>
            </w:pPr>
          </w:p>
        </w:tc>
        <w:tc>
          <w:tcPr>
            <w:tcW w:w="9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</w:pPr>
            <w:r>
              <w:rPr>
                <w:rFonts w:hint="eastAsia"/>
              </w:rPr>
              <w:t>企业宣传资料</w:t>
            </w:r>
          </w:p>
        </w:tc>
        <w:tc>
          <w:tcPr>
            <w:tcW w:w="62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</w:pPr>
            <w:r>
              <w:rPr>
                <w:rFonts w:hint="eastAsia"/>
              </w:rPr>
              <w:t>拍摄企业宣传片、制作VR、印制宣传手册。</w:t>
            </w:r>
            <w:bookmarkStart w:id="0" w:name="_GoBack"/>
            <w:bookmarkEnd w:id="0"/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jc w:val="center"/>
            </w:pPr>
            <w:r>
              <w:rPr>
                <w:rFonts w:hint="eastAsia"/>
              </w:rPr>
              <w:t>项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jc w:val="center"/>
            </w:pPr>
            <w:r>
              <w:rPr>
                <w:rFonts w:hint="eastAsia"/>
              </w:rPr>
              <w:t>标配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</w:pPr>
            <w:r>
              <w:rPr>
                <w:rFonts w:hint="eastAsia"/>
              </w:rPr>
              <w:t>宣传牌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</w:pPr>
            <w:r>
              <w:rPr>
                <w:rFonts w:hint="eastAsia"/>
              </w:rPr>
              <w:t>宣传牌</w:t>
            </w:r>
          </w:p>
        </w:tc>
        <w:tc>
          <w:tcPr>
            <w:tcW w:w="52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</w:pPr>
            <w:r>
              <w:rPr>
                <w:rFonts w:hint="eastAsia"/>
              </w:rPr>
              <w:t>三明市全程可追溯中药材规范化生产示范基地(2.5米*3.5米)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jc w:val="center"/>
            </w:pPr>
            <w:r>
              <w:rPr>
                <w:rFonts w:hint="eastAsia"/>
              </w:rPr>
              <w:t>块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jc w:val="right"/>
            </w:pP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jc w:val="center"/>
            </w:pPr>
            <w:r>
              <w:rPr>
                <w:rFonts w:hint="eastAsia"/>
              </w:rPr>
              <w:t>标配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89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jc w:val="center"/>
              <w:rPr>
                <w:b/>
                <w:bCs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jc w:val="righ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rPr>
                <w:b/>
                <w:bCs/>
              </w:rPr>
            </w:pPr>
          </w:p>
        </w:tc>
      </w:tr>
    </w:tbl>
    <w:p>
      <w:pPr>
        <w:ind w:firstLine="420"/>
      </w:pPr>
      <w:r>
        <w:rPr>
          <w:rFonts w:hint="eastAsia"/>
        </w:rPr>
        <w:t>【注】如果所需的设备不在上述清单中，可以单独申报，酌情选配。</w:t>
      </w:r>
    </w:p>
    <w:p>
      <w:pPr>
        <w:ind w:firstLine="420"/>
      </w:pP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altName w:val="DejaVu Sans"/>
    <w:panose1 w:val="020B0604020202020204"/>
    <w:charset w:val="00"/>
    <w:family w:val="swiss"/>
    <w:pitch w:val="default"/>
    <w:sig w:usb0="00000000" w:usb1="00000000" w:usb2="00000000" w:usb3="00000000" w:csb0="000001FF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" w:line="177" w:lineRule="auto"/>
      <w:ind w:left="7924"/>
      <w:rPr>
        <w:sz w:val="32"/>
        <w:szCs w:val="32"/>
      </w:rPr>
    </w:pPr>
    <w:r>
      <w:rPr>
        <w:spacing w:val="-3"/>
        <w:sz w:val="32"/>
        <w:szCs w:val="32"/>
      </w:rPr>
      <w:t>—11—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21D"/>
    <w:rsid w:val="0044321D"/>
    <w:rsid w:val="00673416"/>
    <w:rsid w:val="00A25E5B"/>
    <w:rsid w:val="00A42FDF"/>
    <w:rsid w:val="00A8687C"/>
    <w:rsid w:val="7B75CBE4"/>
    <w:rsid w:val="ADE20F92"/>
    <w:rsid w:val="BFFF64D9"/>
    <w:rsid w:val="FF0B8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ind w:firstLine="0" w:firstLineChars="0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5"/>
    <w:semiHidden/>
    <w:qFormat/>
    <w:uiPriority w:val="0"/>
    <w:rPr>
      <w:rFonts w:ascii="宋体" w:hAnsi="宋体" w:eastAsia="宋体" w:cs="宋体"/>
      <w:sz w:val="78"/>
      <w:szCs w:val="78"/>
    </w:rPr>
  </w:style>
  <w:style w:type="character" w:customStyle="1" w:styleId="5">
    <w:name w:val="正文文本 Char"/>
    <w:basedOn w:val="4"/>
    <w:link w:val="2"/>
    <w:semiHidden/>
    <w:qFormat/>
    <w:uiPriority w:val="0"/>
    <w:rPr>
      <w:rFonts w:ascii="宋体" w:hAnsi="宋体" w:eastAsia="宋体" w:cs="宋体"/>
      <w:snapToGrid w:val="0"/>
      <w:color w:val="000000"/>
      <w:kern w:val="0"/>
      <w:sz w:val="78"/>
      <w:szCs w:val="78"/>
      <w:lang w:eastAsia="en-US"/>
    </w:r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8"/>
      <w:szCs w:val="28"/>
    </w:rPr>
  </w:style>
  <w:style w:type="table" w:customStyle="1" w:styleId="7">
    <w:name w:val="Table Normal"/>
    <w:semiHidden/>
    <w:unhideWhenUsed/>
    <w:qFormat/>
    <w:uiPriority w:val="0"/>
    <w:pPr>
      <w:spacing w:line="240" w:lineRule="auto"/>
      <w:ind w:firstLine="0" w:firstLineChars="0"/>
    </w:pPr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B表头样式"/>
    <w:next w:val="1"/>
    <w:qFormat/>
    <w:uiPriority w:val="0"/>
    <w:pPr>
      <w:spacing w:line="240" w:lineRule="auto"/>
      <w:ind w:firstLine="0" w:firstLineChars="0"/>
      <w:jc w:val="center"/>
    </w:pPr>
    <w:rPr>
      <w:rFonts w:ascii="Calibri" w:hAnsi="Calibri" w:eastAsia="黑体" w:cs="Times New Roman"/>
      <w:b/>
      <w:kern w:val="2"/>
      <w:sz w:val="21"/>
      <w:szCs w:val="21"/>
      <w:lang w:val="en-US" w:eastAsia="zh-CN" w:bidi="ar-SA"/>
    </w:rPr>
  </w:style>
  <w:style w:type="paragraph" w:customStyle="1" w:styleId="9">
    <w:name w:val="B表格正文"/>
    <w:next w:val="8"/>
    <w:qFormat/>
    <w:uiPriority w:val="0"/>
    <w:pPr>
      <w:spacing w:line="240" w:lineRule="auto"/>
      <w:ind w:firstLine="0" w:firstLineChars="0"/>
    </w:pPr>
    <w:rPr>
      <w:rFonts w:ascii="Calibri" w:hAnsi="Calibri" w:eastAsia="黑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443</Words>
  <Characters>2531</Characters>
  <Lines>21</Lines>
  <Paragraphs>5</Paragraphs>
  <TotalTime>26</TotalTime>
  <ScaleCrop>false</ScaleCrop>
  <LinksUpToDate>false</LinksUpToDate>
  <CharactersWithSpaces>2969</CharactersWithSpaces>
  <Application>WPS Office_11.8.2.12185_F1E327BC-269C-435d-A152-05C5408002CA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2024-07-30T11:07:00Z</dcterms:created>
  <dc:creator>Administrator</dc:creator>
  <cp:lastModifiedBy>user</cp:lastModifiedBy>
  <dcterms:modified xsi:type="dcterms:W3CDTF">2025-08-18T09:31:42Z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2052-11.8.2.12185</vt:lpwstr>
  </property>
  <property fmtid="{D5CDD505-2E9C-101B-9397-08002B2CF9AE}" pid="3" name="ICV">
    <vt:lpwstr>88F3D2A5DD778008E47CA26842766949</vt:lpwstr>
  </property>
</Properties>
</file>