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三元区农机报废更新补贴指南</w:t>
      </w:r>
    </w:p>
    <w:p>
      <w:pPr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一、补贴对象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从事农业生产的农民和农业生产经营组织。补贴对象不包括国家公务人员、事业单位干部职工等国家和地方各级政府财政供养人员。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二、补贴种类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长期补贴：拖拉机、播种机、联合收割机（含粮棉油糖等作物联合收割所用机械）、水稻插秧机、农用北斗辅助驾驶系统、机动喷雾（粉）机、机动脱粒机、饲料（草）粉碎机、侧草机等9类。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限时补贴：</w:t>
      </w:r>
      <w:r>
        <w:rPr>
          <w:rFonts w:hint="eastAsia"/>
          <w:sz w:val="21"/>
          <w:szCs w:val="21"/>
          <w:lang w:val="en-US" w:eastAsia="zh-CN"/>
        </w:rPr>
        <w:t>水稻抛秧机、色选机、磨粉机、农机作业监测终端（亦称田间作业监测终端）、谷物（粮食）干燥机、农用无人驾驶航空器（亦称植保无人机）、自走式旋耕机、田间搬运机、育秧（苗）播种设备、微型耕耘机、田园管理机、轨道运输机主机、病死畜禽处理设备、加温设备（热风炉）、茶叶揉捻机、茶叶烘干机、茶叶杀青机、茶叶做青机等18类，实施期限为2025年1月1日至2025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三、报废条件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1.主要部件齐全。2.来源清楚合法。3.符合下列情形之一：一是达到使用年限的农机。二是未达到报废年限但安全隐患大、故障发生率高、损毁严重、维修成本高或技术落后的农机。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四、补贴标准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Times New Roman"/>
          <w:sz w:val="21"/>
          <w:szCs w:val="21"/>
          <w:highlight w:val="none"/>
        </w:rPr>
      </w:pPr>
      <w:r>
        <w:rPr>
          <w:rFonts w:hint="eastAsia" w:cs="Times New Roman"/>
          <w:sz w:val="21"/>
          <w:szCs w:val="21"/>
          <w:highlight w:val="none"/>
        </w:rPr>
        <w:t>报废补贴实行定额管理，相关补贴额见附件1、附件2。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</w:rPr>
        <w:t>五、政策咨询电话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三元区农业机械站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联系电话：0598-</w:t>
      </w:r>
      <w:r>
        <w:rPr>
          <w:sz w:val="21"/>
          <w:szCs w:val="21"/>
        </w:rPr>
        <w:t>8271</w:t>
      </w:r>
      <w:r>
        <w:rPr>
          <w:rFonts w:hint="eastAsia"/>
          <w:sz w:val="21"/>
          <w:szCs w:val="21"/>
          <w:lang w:val="en-US" w:eastAsia="zh-CN"/>
        </w:rPr>
        <w:t>578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六、报废农机回收拆解企业及联系电话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三明市恒德顺再生资源有限公司              联系电话：</w:t>
      </w:r>
      <w:r>
        <w:rPr>
          <w:sz w:val="21"/>
          <w:szCs w:val="21"/>
        </w:rPr>
        <w:t>17305988889</w:t>
      </w:r>
      <w:r>
        <w:rPr>
          <w:rFonts w:hint="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国投闽光（三明）城市资源有限公司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联系电话：1</w:t>
      </w:r>
      <w:r>
        <w:rPr>
          <w:sz w:val="21"/>
          <w:szCs w:val="21"/>
        </w:rPr>
        <w:t>3205988966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三明市报废汽车回收拆解有限公司荆东拆解场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联系电话：1</w:t>
      </w:r>
      <w:r>
        <w:rPr>
          <w:sz w:val="21"/>
          <w:szCs w:val="21"/>
        </w:rPr>
        <w:t>3860511086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154940</wp:posOffset>
            </wp:positionV>
            <wp:extent cx="6392545" cy="3570605"/>
            <wp:effectExtent l="0" t="0" r="8255" b="10795"/>
            <wp:wrapNone/>
            <wp:docPr id="1" name="图片 1" descr="3ff0ed78bea840e84cfc51134f168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f0ed78bea840e84cfc51134f1684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三元区农业农村局（宣）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福建省农机报废补贴额一览表</w:t>
      </w:r>
    </w:p>
    <w:tbl>
      <w:tblPr>
        <w:tblStyle w:val="2"/>
        <w:tblW w:w="102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37"/>
        <w:gridCol w:w="1277"/>
        <w:gridCol w:w="1409"/>
        <w:gridCol w:w="1141"/>
        <w:gridCol w:w="1890"/>
        <w:gridCol w:w="1935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使用年限(参考）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拖拉机（备注：多功能拖拉机按马力对应到具体类别给予补贴）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20马力以下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补贴额1500元补贴期限至2025年12月31日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20(含)—50马力(含)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（一）24马力（包含）以下10年。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（二）24马力以上履带拖拉机12年。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（三）24马力以上轮式拖拉机15年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50—80马力(含)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（一）履带拖拉机12年。（二）轮式拖拉机15年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80—100马力(含)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（一）履带拖拉机12年。（二）轮式拖拉机15年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100马力以上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（一）履带拖拉机12年。（二）轮式拖拉机15年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2行及以上，手扶式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6行以下，非手扶式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6行（含）以上，非手扶式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联合收割机（含粮棉油糖等作物联合收割所用机械）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喂入量0.3（含）—0.5kg/s(含)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喂入量0.5—1kg/s(含)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喂入量1—3kg/s(含)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2行，13马力(含)以上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3行，35马力(含)以上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4行(含)以上，35马力(含)以上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2行手扶步进式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6行及以上独轮乘坐式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4—5行四轮乘坐式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6—7行四轮乘坐式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机动喷雾（粉）机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悬挂或牵引式喷杆喷雾机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喷杆长度18m以下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机架、轮毂、喷杆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悬挂或牵引式喷杆喷雾机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喷杆长度18m（含）以上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机架、轮毂、喷杆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自走式喷杆喷雾机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功率6（含）-18马力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机架、轮毂、喷杆、发动机、变速箱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自走式喷杆喷雾机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功率18（含）-35马力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机架、轮毂、喷杆、发动机、变速箱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自走式喷杆喷雾机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功率35马力（含）以上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机架、轮毂、喷杆、发动机、变速箱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牵引式风送喷雾机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药箱容积350（含）-1200L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牵引式风送喷雾机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药箱容积1200L（含）以上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行走功率3（含）-6马力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机架、轮毂、风机、发动机、变速箱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行走功率6（含）-18马力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机架、轮毂、风机、发动机、变速箱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自走式风送喷雾机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行走功率18马力（含）以上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机架、轮毂、风机、发动机、变速箱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生产率300kg/h（含）以上稻麦脱粒机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机架、滚筒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转子直径400mm（含）以上饲料（草）粉碎机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机架、粉碎室、转子盘、电机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（一）18kW及以下的10年。（二）18kW以上的12年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生产率3（含）-6t/h铡草机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机架、刀盘、电机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生产率6（含）-9t/h铡草机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机架、刀盘、电机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生产率9t/h（含）以上铡草机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机架、刀盘、电机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导航控制单元、车载计算机、转向控制单元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该类机具报废补贴申领以购置同种类新机具为前提。实施期限至2025年12月31日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农用无人驾驶航空器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药箱容量6（含）-20L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机架、电池、机翼（含电机）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该类机具报废补贴申领以购置同种类新机具为前提。补贴实施期限至2025年12月31日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药箱容量20（含）-30L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机架、电池、机翼（含电机）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药箱容量30（含）-50L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机架、电池、机翼（含电机）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药箱容量50L（含）以上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机架、电池、机翼（含电机）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农机作业监测终端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农机作业监测终端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该类机具报废补贴申领以购置同种类新机具为前提。补贴实施期限至2025年12月31日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批处理量2（含）-4t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批处理量4（含）-10t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批处理量10（含）-20t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批处理量20（含）-30t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批处理量30t（含）以上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6行（含）以上四轮乘坐式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机架、发动机、轮毂等行走装置、变速箱、抛秧装置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色选机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总执行单元数60（含）-128色选机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机架、色选机构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总执行单元数128（含）-256色选机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机架、色选机构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总执行单元数256及以上色选机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机架、色选机构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磨粉机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磨辊长度30cm及以上磨粉机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机架、电动机、筛体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该类机具报废补贴实施期限为至2025年12月31日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自走式旋耕机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耕幅1.2（含）-2m，履带自走式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机架、发动机、履带驱动轮、变速箱、旋耕装置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耕幅2m（含）以上，履带自走式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机架、发动机、履带驱动轮、变速箱、旋耕装置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田间搬运机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机架、发动机、轮毂或履带驱动轮、变速箱、货箱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功率4kW（含）—6kW以下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机架、发动机、轮毂或履带驱动轮、变速箱、货箱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功率6kW（含）以上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机架、发动机、轮毂或履带驱动轮、变速箱、货箱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生产率200（含）—500盘/h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机架、铺土装置、播种装置、覆土装置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生产率500盘/h（含）以上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机架、铺土装置、播种装置、覆土装置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功率4kW以下微型耕耘机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机架、发动机、传动装置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功率4kW及以上微型耕耘机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机架、发动机、传动装置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功率4kW以下田园管理机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机架、发动机、传动装置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功率4kW以上田园管理机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机架、发动机、传动装置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加温设备（热风炉）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总供热量0.1163MW及以上生物质颗粒燃料热风炉（不含热交换器）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机架、送料装置、料仓、鼓风风机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总供热量0.01163MW及以上生物醇油燃料热风炉（不含热交换器）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机架、热风机、燃料贮料室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总供热量0.1163（含）—0.3489MW生物质颗粒燃料热风炉（含热交换器）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机架、送料装置、料仓、热交换器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总供热量0.3489（含）—0.52335MW生物质颗粒燃料热风炉（含热交换器）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机架、送料装置、料仓、热交换器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总供热量0.52335（含）—0.87225MW生物质颗粒燃料热风炉（含热交换器）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机架、送料装置、料仓、热交换器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轨道运输机主机（电动机）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机架（含传动装置）、电机、锂电池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轨道运输机主机（汽油机或柴油机）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机架（含传动装置）、发动机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容积0.5（含）—1m</w:t>
            </w:r>
            <w:r>
              <w:rPr>
                <w:rStyle w:val="10"/>
                <w:lang w:val="en-US" w:eastAsia="zh-CN" w:bidi="ar"/>
              </w:rPr>
              <w:t>³</w:t>
            </w:r>
            <w:r>
              <w:rPr>
                <w:rStyle w:val="9"/>
                <w:rFonts w:hAnsi="宋体"/>
                <w:lang w:val="en-US" w:eastAsia="zh-CN" w:bidi="ar"/>
              </w:rPr>
              <w:t>病死畜禽处理设备（搅龙式结构刀具）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箱体、刀具（搅龙式）、刀辊电机、加热装置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容积0.5（含）—1m</w:t>
            </w:r>
            <w:r>
              <w:rPr>
                <w:rStyle w:val="10"/>
                <w:lang w:val="en-US" w:eastAsia="zh-CN" w:bidi="ar"/>
              </w:rPr>
              <w:t>³</w:t>
            </w:r>
            <w:r>
              <w:rPr>
                <w:rStyle w:val="9"/>
                <w:rFonts w:hAnsi="宋体"/>
                <w:lang w:val="en-US" w:eastAsia="zh-CN" w:bidi="ar"/>
              </w:rPr>
              <w:t>病死畜禽处理设备（多片非连续式结构刀具）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箱体、刀具（多片非连续式）、刀辊电机、加热装置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容积1（含）—2m</w:t>
            </w:r>
            <w:r>
              <w:rPr>
                <w:rStyle w:val="10"/>
                <w:lang w:val="en-US" w:eastAsia="zh-CN" w:bidi="ar"/>
              </w:rPr>
              <w:t>³</w:t>
            </w:r>
            <w:r>
              <w:rPr>
                <w:rStyle w:val="9"/>
                <w:rFonts w:hAnsi="宋体"/>
                <w:lang w:val="en-US" w:eastAsia="zh-CN" w:bidi="ar"/>
              </w:rPr>
              <w:t>病死畜禽处理设备（多片非连续式结构刀具）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箱体、刀具（多片非连续式）、刀辊电机、加热装置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容积2m</w:t>
            </w:r>
            <w:r>
              <w:rPr>
                <w:rStyle w:val="10"/>
                <w:lang w:val="en-US" w:eastAsia="zh-CN" w:bidi="ar"/>
              </w:rPr>
              <w:t>³</w:t>
            </w:r>
            <w:r>
              <w:rPr>
                <w:rStyle w:val="9"/>
                <w:rFonts w:hAnsi="宋体"/>
                <w:lang w:val="en-US" w:eastAsia="zh-CN" w:bidi="ar"/>
              </w:rPr>
              <w:t>及以上病死畜禽处理设备（多片非连续式结构刀具）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箱体、刀具（多片非连续式）、刀辊电机、加热装置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揉桶直径35（含）—50cm揉捻机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机架、揉桶、揉盘、电机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揉桶直径50（含）—60cm揉捻机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机架、揉桶、揉盘、电机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揉桶直径60cm及以上揉捻机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机架、揉桶、揉盘、电机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茶叶烘干机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烘干面积10</w:t>
            </w:r>
            <w:r>
              <w:rPr>
                <w:rStyle w:val="12"/>
                <w:lang w:val="en-US" w:eastAsia="zh-CN" w:bidi="ar"/>
              </w:rPr>
              <w:t>㎡</w:t>
            </w:r>
            <w:r>
              <w:rPr>
                <w:rStyle w:val="11"/>
                <w:rFonts w:hAnsi="宋体"/>
                <w:lang w:val="en-US" w:eastAsia="zh-CN" w:bidi="ar"/>
              </w:rPr>
              <w:t>及以上连续自动式茶叶烘干机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机架、送料装置、烘板或网带、风机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滚筒直径80cm及以上杀青机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机架、滚筒、供热装置、电动机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燃气式杀青机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机架、滚筒、供热装置、电动机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茶叶做青机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综合做青机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机架、滚筒、回转电动机、风机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该类机具报废补贴实施期限至2025年12月31日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有效摊叶面积≥25m</w:t>
            </w:r>
            <w:r>
              <w:rPr>
                <w:rFonts w:ascii="Calibri" w:hAnsi="Calibri" w:eastAsia="仿宋_GB2312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  <w:r>
              <w:rPr>
                <w:rStyle w:val="11"/>
                <w:rFonts w:hAnsi="宋体"/>
                <w:lang w:val="en-US" w:eastAsia="zh-CN" w:bidi="ar"/>
              </w:rPr>
              <w:t>链板循环式茶叶萎凋机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机架、送料装置、链板、供热装置、风机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0" w:firstLineChars="300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1"/>
          <w:szCs w:val="21"/>
          <w:lang w:eastAsia="zh-CN"/>
        </w:rPr>
        <w:t>三元区农业农村局（宣）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2025年福建省报废并购置同种类新机具补贴额一览表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105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40"/>
        <w:gridCol w:w="1383"/>
        <w:gridCol w:w="1380"/>
        <w:gridCol w:w="988"/>
        <w:gridCol w:w="1952"/>
        <w:gridCol w:w="114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机型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使用年限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（参考）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2行及以上，手扶式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报废并购置同种类新机具的补贴额标准，实施期限至2025年12月31日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6行以下，非手扶式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6行（含）以上，非手扶式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联合收割机（含粮棉油糖等作物联合收割所用机械）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喂入量0.3（含）—0.5kg/s(含)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报废并购置同种类新机具的补贴额标准，实施期限至2025年12月31日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喂入量0.5—1kg/s(含)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喂入量1—3kg/s(含)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2行，13马力(含)以上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3行，35马力(含)以上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4行(含)以上，35马力(含)以上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机架、发动机、轮毂或履带驱动轮、变速箱、割台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2行手扶步进式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报废并购置同种类新机具的补贴额标准，实施期限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6行及以上独轮乘坐式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4—5行四轮乘坐式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6—7行四轮乘坐式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机架、发动机、轮毂等行走装置、变速箱、插植装置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  <w:bookmarkStart w:id="0" w:name="_GoBack"/>
            <w:bookmarkEnd w:id="0"/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6行（含）以上四轮乘坐式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机架、发动机、轮毂等行走装置、变速箱、抛秧装置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报废并购置同种类新机具的补贴额标准，实施期限至2025年12月31日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eastAsia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default"/>
          <w:b/>
          <w:bCs/>
          <w:sz w:val="32"/>
          <w:szCs w:val="32"/>
          <w:highlight w:val="yellow"/>
          <w:lang w:val="en-US" w:eastAsia="zh-CN"/>
        </w:rPr>
      </w:pPr>
    </w:p>
    <w:p>
      <w:pPr>
        <w:tabs>
          <w:tab w:val="left" w:pos="667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</w:t>
      </w:r>
      <w:r>
        <w:rPr>
          <w:rFonts w:hint="eastAsia"/>
          <w:sz w:val="21"/>
          <w:szCs w:val="21"/>
          <w:lang w:eastAsia="zh-CN"/>
        </w:rPr>
        <w:t>三元区农业农村局（宣）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NTE4NDBiNjI1ZjA4ZTQyNzMxZmRhMDZlNjI0ODkifQ=="/>
    <w:docVar w:name="KSO_WPS_MARK_KEY" w:val="abf54590-be8e-4147-882e-3e57c59b5d57"/>
  </w:docVars>
  <w:rsids>
    <w:rsidRoot w:val="004E2E61"/>
    <w:rsid w:val="001D36AB"/>
    <w:rsid w:val="004E2E61"/>
    <w:rsid w:val="00836D10"/>
    <w:rsid w:val="00F5307F"/>
    <w:rsid w:val="14663E36"/>
    <w:rsid w:val="165F362F"/>
    <w:rsid w:val="1BFC9082"/>
    <w:rsid w:val="1F0265C3"/>
    <w:rsid w:val="36963DEF"/>
    <w:rsid w:val="38390F56"/>
    <w:rsid w:val="3C781206"/>
    <w:rsid w:val="3ECF0836"/>
    <w:rsid w:val="4FA6959D"/>
    <w:rsid w:val="4FAC11CC"/>
    <w:rsid w:val="56852088"/>
    <w:rsid w:val="5DCB1D21"/>
    <w:rsid w:val="66B854BE"/>
    <w:rsid w:val="6B2807B2"/>
    <w:rsid w:val="6B6FCDD8"/>
    <w:rsid w:val="6B7BF1B1"/>
    <w:rsid w:val="6C537AB1"/>
    <w:rsid w:val="6FF43BB9"/>
    <w:rsid w:val="717268BD"/>
    <w:rsid w:val="72A746B3"/>
    <w:rsid w:val="737D0BDB"/>
    <w:rsid w:val="75792336"/>
    <w:rsid w:val="765468FF"/>
    <w:rsid w:val="79FFA8C3"/>
    <w:rsid w:val="7B3311D9"/>
    <w:rsid w:val="7DBDD34F"/>
    <w:rsid w:val="7FCBC6F1"/>
    <w:rsid w:val="7FDD63EA"/>
    <w:rsid w:val="8FBDC83D"/>
    <w:rsid w:val="F3EB556D"/>
    <w:rsid w:val="F7FFC4B7"/>
    <w:rsid w:val="FC7F0A34"/>
    <w:rsid w:val="FF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8">
    <w:name w:val="font0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1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6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1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15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4400</Characters>
  <Lines>36</Lines>
  <Paragraphs>10</Paragraphs>
  <TotalTime>1</TotalTime>
  <ScaleCrop>false</ScaleCrop>
  <LinksUpToDate>false</LinksUpToDate>
  <CharactersWithSpaces>5161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2024-11-11T06:08:00Z</dcterms:created>
  <dc:creator>农机站</dc:creator>
  <cp:lastModifiedBy>user</cp:lastModifiedBy>
  <cp:lastPrinted>2025-05-16T11:12:00Z</cp:lastPrinted>
  <dcterms:modified xsi:type="dcterms:W3CDTF">2025-05-14T18:27:58Z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52873FB1811FA61697F9236887E91DA1</vt:lpwstr>
  </property>
</Properties>
</file>