
<file path=[Content_Types].xml><?xml version="1.0" encoding="utf-8"?>
<Types xmlns="http://schemas.openxmlformats.org/package/2006/content-types">
  <Default Extension="rels" ContentType="application/vnd.openxmlformats-package.relationships+xml"/>
  <Default Extension="xml" ContentType="application/xml"/>
  <Override ContentType="application/xml" PartName="/customXml/item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er+xml" PartName="/word/footer16.xml"/>
  <Override ContentType="application/vnd.openxmlformats-officedocument.wordprocessingml.footer+xml" PartName="/word/footer17.xml"/>
  <Override ContentType="application/vnd.openxmlformats-officedocument.wordprocessingml.footer+xml" PartName="/word/footer18.xml"/>
  <Override ContentType="application/vnd.openxmlformats-officedocument.wordprocessingml.footer+xml" PartName="/word/footer19.xml"/>
  <Override ContentType="application/vnd.openxmlformats-officedocument.wordprocessingml.footer+xml" PartName="/word/footer2.xml"/>
  <Override ContentType="application/vnd.openxmlformats-officedocument.wordprocessingml.footer+xml" PartName="/word/footer20.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app.xml" Type="http://schemas.openxmlformats.org/officeDocument/2006/relationships/extended-properties" Id="rId2"/>
    <Relationship Target="docProps/core.xml" Type="http://schemas.openxmlformats.org/package/2006/relationships/metadata/core-properties" Id="rId3"/>
    <Relationship Target="docProps/custom.xml" Type="http://schemas.openxmlformats.org/officeDocument/2006/relationships/custom-properties"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2.0 -->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10AE6DF7">
      <w:pPr>
        <w:widowControl/>
        <w:jc w:val="center"/>
        <w:rPr>
          <w:sz w:val="32"/>
          <w:szCs w:val="32"/>
          <w:highlight w:val="none"/>
        </w:rPr>
      </w:pPr>
    </w:p>
    <w:p w14:paraId="3E466969">
      <w:pPr>
        <w:widowControl/>
        <w:jc w:val="both"/>
        <w:rPr>
          <w:sz w:val="84"/>
          <w:szCs w:val="84"/>
          <w:highlight w:val="none"/>
        </w:rPr>
      </w:pPr>
    </w:p>
    <w:p w14:paraId="14E47F14">
      <w:pPr>
        <w:widowControl/>
        <w:jc w:val="center"/>
        <w:rPr>
          <w:rFonts w:ascii="方正小标宋简体" w:eastAsia="方正小标宋简体" w:hint="eastAsia"/>
          <w:b/>
          <w:bCs/>
          <w:sz w:val="84"/>
          <w:szCs w:val="84"/>
          <w:highlight w:val="none"/>
        </w:rPr>
      </w:pPr>
      <w:r>
        <w:rPr>
          <w:rFonts w:ascii="方正小标宋简体" w:eastAsia="方正小标宋简体" w:hint="eastAsia"/>
          <w:b/>
          <w:bCs/>
          <w:sz w:val="84"/>
          <w:szCs w:val="84"/>
          <w:highlight w:val="none"/>
          <w:lang w:val="en-US" w:eastAsia="zh-CN"/>
        </w:rPr>
        <w:t>2025</w:t>
      </w:r>
      <w:r>
        <w:rPr>
          <w:rFonts w:ascii="方正小标宋简体" w:eastAsia="方正小标宋简体" w:hint="eastAsia"/>
          <w:b/>
          <w:bCs/>
          <w:sz w:val="84"/>
          <w:szCs w:val="84"/>
          <w:highlight w:val="none"/>
        </w:rPr>
        <w:t>年度</w:t>
      </w:r>
      <w:bookmarkStart w:id="0" w:name="_GoBack"/>
      <w:bookmarkEnd w:id="0"/>
    </w:p>
    <w:p w14:paraId="2612820C">
      <w:pPr>
        <w:widowControl/>
        <w:jc w:val="center"/>
        <w:rPr>
          <w:rFonts w:ascii="方正小标宋简体" w:eastAsia="方正小标宋简体" w:hint="eastAsia"/>
          <w:b/>
          <w:bCs/>
          <w:sz w:val="84"/>
          <w:szCs w:val="84"/>
          <w:highlight w:val="none"/>
        </w:rPr>
      </w:pPr>
      <w:r>
        <w:rPr>
          <w:rFonts w:ascii="方正小标宋简体" w:eastAsia="方正小标宋简体" w:hint="eastAsia"/>
          <w:b/>
          <w:bCs/>
          <w:sz w:val="84"/>
          <w:szCs w:val="84"/>
          <w:highlight w:val="none"/>
        </w:rPr>
        <w:t>三明市三元区徐碧街道办事处</w:t>
      </w:r>
    </w:p>
    <w:p w14:paraId="25C05BAC">
      <w:pPr>
        <w:widowControl/>
        <w:jc w:val="center"/>
        <w:rPr>
          <w:rFonts w:ascii="方正小标宋简体" w:eastAsia="方正小标宋简体" w:hint="eastAsia"/>
          <w:b/>
          <w:bCs/>
          <w:sz w:val="84"/>
          <w:szCs w:val="84"/>
          <w:highlight w:val="none"/>
          <w:lang w:val="en-US" w:eastAsia="zh-CN"/>
        </w:rPr>
        <w:sectPr>
          <w:footerReference w:type="default" r:id="rId5"/>
          <w:pgSz w:w="11906" w:h="16838"/>
          <w:pgMar w:top="1440" w:right="1083" w:bottom="1440" w:left="1083" w:header="0" w:footer="720" w:gutter="0"/>
          <w:pgBorders>
            <w:top w:val="none" w:sz="0" w:space="0" w:color="auto"/>
            <w:left w:val="none" w:sz="0" w:space="0" w:color="auto"/>
            <w:bottom w:val="none" w:sz="0" w:space="0" w:color="auto"/>
            <w:right w:val="none" w:sz="0" w:space="0" w:color="auto"/>
          </w:pgBorders>
          <w:pgNumType w:fmt="decimal"/>
          <w:cols w:num="1" w:space="0"/>
          <w:titlePg/>
          <w:rtlGutter w:val="0"/>
          <w:docGrid w:type="lines" w:linePitch="317" w:charSpace="0"/>
        </w:sectPr>
      </w:pPr>
      <w:r>
        <w:rPr>
          <w:rFonts w:ascii="方正小标宋简体" w:eastAsia="方正小标宋简体" w:hint="eastAsia"/>
          <w:b/>
          <w:bCs/>
          <w:sz w:val="84"/>
          <w:szCs w:val="84"/>
          <w:highlight w:val="none"/>
          <w:lang w:val="en-US" w:eastAsia="zh-CN"/>
        </w:rPr>
        <w:t>单位</w:t>
      </w:r>
      <w:r>
        <w:rPr>
          <w:rFonts w:ascii="方正小标宋简体" w:eastAsia="方正小标宋简体" w:hint="eastAsia"/>
          <w:b/>
          <w:bCs/>
          <w:sz w:val="84"/>
          <w:szCs w:val="84"/>
          <w:highlight w:val="none"/>
        </w:rPr>
        <w:t>决算</w:t>
      </w:r>
    </w:p>
    <w:sdt>
      <w:sdtPr>
        <w:rPr>
          <w:rFonts w:ascii="仿宋" w:eastAsia="仿宋" w:hAnsi="仿宋" w:cs="仿宋" w:hint="eastAsia"/>
          <w:b/>
          <w:bCs/>
          <w:kern w:val="0"/>
          <w:sz w:val="32"/>
          <w:szCs w:val="32"/>
          <w:lang w:val="en-US" w:eastAsia="zh-CN"/>
        </w:rPr>
        <w:id w:val="147456983"/>
        <w:docPartObj>
          <w:docPartGallery w:val="Table of Contents"/>
          <w:docPartUnique/>
        </w:docPartObj>
        <w15:color w:val="DBDBDB"/>
      </w:sdtPr>
      <w:sdtEndPr>
        <w:rPr>
          <w:rFonts w:ascii="宋体" w:eastAsia="宋体" w:hAnsi="宋体" w:cs="Times New Roman" w:hint="eastAsia"/>
          <w:b/>
          <w:bCs/>
          <w:kern w:val="2"/>
          <w:sz w:val="32"/>
          <w:szCs w:val="32"/>
          <w:lang w:val="en-US" w:eastAsia="zh-CN" w:bidi="ar-SA"/>
        </w:rPr>
      </w:sdtEndPr>
      <w:sdtContent>
        <w:p w14:paraId="54EB9CAB">
          <w:pPr>
            <w:widowControl/>
            <w:spacing w:before="0" w:beforeLines="0" w:after="0" w:afterLines="0" w:line="240" w:lineRule="auto"/>
            <w:ind w:left="0" w:right="0" w:firstLine="0" w:leftChars="0" w:rightChars="0" w:firstLineChars="0"/>
            <w:jc w:val="center"/>
            <w:rPr>
              <w:rFonts w:ascii="仿宋" w:eastAsia="仿宋" w:hAnsi="仿宋" w:cs="仿宋" w:hint="eastAsia"/>
              <w:b/>
              <w:bCs/>
              <w:kern w:val="0"/>
              <w:sz w:val="32"/>
              <w:szCs w:val="32"/>
            </w:rPr>
          </w:pPr>
          <w:r>
            <w:rPr>
              <w:rFonts w:ascii="仿宋" w:eastAsia="仿宋" w:hAnsi="仿宋" w:cs="仿宋" w:hint="eastAsia"/>
              <w:b/>
              <w:bCs/>
              <w:kern w:val="0"/>
              <w:sz w:val="32"/>
              <w:szCs w:val="32"/>
            </w:rPr>
            <w:t>目</w:t>
          </w:r>
          <w:r>
            <w:rPr>
              <w:rFonts w:ascii="仿宋" w:eastAsia="仿宋" w:hAnsi="仿宋" w:cs="仿宋" w:hint="eastAsia"/>
              <w:b/>
              <w:bCs/>
              <w:kern w:val="0"/>
              <w:sz w:val="32"/>
              <w:szCs w:val="32"/>
              <w:lang w:val="en-US" w:eastAsia="zh-CN"/>
            </w:rPr>
            <w:t xml:space="preserve"> </w:t>
          </w:r>
          <w:r>
            <w:rPr>
              <w:rFonts w:ascii="仿宋" w:eastAsia="仿宋" w:hAnsi="仿宋" w:cs="仿宋" w:hint="eastAsia"/>
              <w:b/>
              <w:bCs/>
              <w:kern w:val="0"/>
              <w:sz w:val="32"/>
              <w:szCs w:val="32"/>
            </w:rPr>
            <w:t>录</w:t>
          </w:r>
        </w:p>
        <w:p>
          <w:pPr>
            <w:pStyle w:val="TOC2"/>
            <w:tabs>
              <w:tab w:val="right" w:leader="dot" w:pos="9730"/>
            </w:tabs>
            <w:rPr>
              <w:rFonts w:asciiTheme="minorHAnsi" w:hAnsiTheme="minorHAnsi"/>
              <w:noProof/>
              <w:sz w:val="22"/>
            </w:rPr>
          </w:pPr>
          <w:r>
            <w:rPr>
              <w:rFonts w:ascii="仿宋" w:eastAsia="仿宋" w:hAnsi="仿宋" w:cs="仿宋" w:hint="eastAsia"/>
              <w:b w:val="0"/>
              <w:bCs/>
              <w:kern w:val="2"/>
              <w:sz w:val="32"/>
              <w:szCs w:val="32"/>
              <w:lang w:val="en-US" w:eastAsia="zh-CN" w:bidi="ar-SA"/>
            </w:rPr>
            <w:fldChar w:fldCharType="begin"/>
          </w:r>
          <w:r>
            <w:rPr>
              <w:rFonts w:ascii="仿宋" w:eastAsia="仿宋" w:hAnsi="仿宋" w:cs="仿宋" w:hint="eastAsia"/>
              <w:b w:val="0"/>
              <w:bCs/>
              <w:kern w:val="2"/>
              <w:sz w:val="32"/>
              <w:szCs w:val="32"/>
              <w:lang w:val="en-US" w:eastAsia="zh-CN" w:bidi="ar-SA"/>
            </w:rPr>
            <w:instrText xml:space="preserve">TOC \o "1-3" \h \u </w:instrText>
          </w:r>
          <w:r>
            <w:rPr>
              <w:rFonts w:ascii="仿宋" w:eastAsia="仿宋" w:hAnsi="仿宋" w:cs="仿宋" w:hint="eastAsia"/>
              <w:b w:val="0"/>
              <w:bCs/>
              <w:kern w:val="2"/>
              <w:sz w:val="32"/>
              <w:szCs w:val="32"/>
              <w:lang w:val="en-US" w:eastAsia="zh-CN" w:bidi="ar-SA"/>
            </w:rPr>
            <w:fldChar w:fldCharType="separate"/>
          </w:r>
          <w:hyperlink w:anchor="_Toc256000054" w:history="1">
            <w:r>
              <w:rPr>
                <w:rStyle w:val="Hyperlink"/>
                <w:rFonts w:ascii="仿宋" w:eastAsia="仿宋" w:hAnsi="仿宋" w:cs="仿宋"/>
              </w:rPr>
              <w:t>第一部分</w:t>
            </w:r>
            <w:r>
              <w:rPr>
                <w:rStyle w:val="Hyperlink"/>
                <w:rFonts w:ascii="SimHei" w:eastAsia="SimHei" w:hAnsi="SimHei" w:cs="SimHei"/>
              </w:rPr>
              <w:t xml:space="preserve"> </w:t>
            </w:r>
            <w:r>
              <w:rPr>
                <w:rStyle w:val="Hyperlink"/>
                <w:rFonts w:ascii="仿宋" w:eastAsia="仿宋" w:hAnsi="仿宋" w:cs="仿宋"/>
              </w:rPr>
              <w:t>部门概况</w:t>
            </w:r>
            <w:r>
              <w:tab/>
            </w:r>
            <w:r>
              <w:fldChar w:fldCharType="begin"/>
            </w:r>
            <w:r>
              <w:instrText xml:space="preserve"> PAGEREF _Toc256000054 \h </w:instrText>
            </w:r>
            <w:r>
              <w:fldChar w:fldCharType="separate"/>
            </w:r>
            <w:r>
              <w:t>1</w:t>
            </w:r>
            <w:r>
              <w:fldChar w:fldCharType="end"/>
            </w:r>
          </w:hyperlink>
        </w:p>
        <w:p>
          <w:pPr>
            <w:pStyle w:val="TOC3"/>
            <w:tabs>
              <w:tab w:val="right" w:leader="dot" w:pos="9730"/>
            </w:tabs>
            <w:rPr>
              <w:rFonts w:asciiTheme="minorHAnsi" w:hAnsiTheme="minorHAnsi"/>
              <w:noProof/>
              <w:sz w:val="22"/>
            </w:rPr>
          </w:pPr>
          <w:hyperlink w:anchor="_Toc256000055" w:history="1">
            <w:r>
              <w:rPr>
                <w:rStyle w:val="Hyperlink"/>
                <w:rFonts w:ascii="仿宋" w:eastAsia="仿宋" w:hAnsi="仿宋" w:cs="仿宋"/>
              </w:rPr>
              <w:t>一、部门主要职责</w:t>
            </w:r>
            <w:r>
              <w:tab/>
            </w:r>
            <w:r>
              <w:fldChar w:fldCharType="begin"/>
            </w:r>
            <w:r>
              <w:instrText xml:space="preserve"> PAGEREF _Toc256000055 \h </w:instrText>
            </w:r>
            <w:r>
              <w:fldChar w:fldCharType="separate"/>
            </w:r>
            <w:r>
              <w:t>2</w:t>
            </w:r>
            <w:r>
              <w:fldChar w:fldCharType="end"/>
            </w:r>
          </w:hyperlink>
        </w:p>
        <w:p>
          <w:pPr>
            <w:pStyle w:val="TOC3"/>
            <w:tabs>
              <w:tab w:val="right" w:leader="dot" w:pos="9730"/>
            </w:tabs>
            <w:rPr>
              <w:rFonts w:asciiTheme="minorHAnsi" w:hAnsiTheme="minorHAnsi"/>
              <w:noProof/>
              <w:sz w:val="22"/>
            </w:rPr>
          </w:pPr>
          <w:hyperlink w:anchor="_Toc256000056" w:history="1">
            <w:r>
              <w:rPr>
                <w:rStyle w:val="Hyperlink"/>
                <w:rFonts w:ascii="仿宋" w:eastAsia="仿宋" w:hAnsi="仿宋" w:cs="仿宋"/>
              </w:rPr>
              <w:t>二、部门决算单位基本情况</w:t>
            </w:r>
            <w:r>
              <w:tab/>
            </w:r>
            <w:r>
              <w:fldChar w:fldCharType="begin"/>
            </w:r>
            <w:r>
              <w:instrText xml:space="preserve"> PAGEREF _Toc256000056 \h </w:instrText>
            </w:r>
            <w:r>
              <w:fldChar w:fldCharType="separate"/>
            </w:r>
            <w:r>
              <w:t>2</w:t>
            </w:r>
            <w:r>
              <w:fldChar w:fldCharType="end"/>
            </w:r>
          </w:hyperlink>
        </w:p>
        <w:p>
          <w:pPr>
            <w:pStyle w:val="TOC3"/>
            <w:tabs>
              <w:tab w:val="right" w:leader="dot" w:pos="9730"/>
            </w:tabs>
            <w:rPr>
              <w:rFonts w:asciiTheme="minorHAnsi" w:hAnsiTheme="minorHAnsi"/>
              <w:noProof/>
              <w:sz w:val="22"/>
            </w:rPr>
          </w:pPr>
          <w:hyperlink w:anchor="_Toc256000057" w:history="1">
            <w:r>
              <w:rPr>
                <w:rStyle w:val="Hyperlink"/>
                <w:rFonts w:ascii="仿宋" w:eastAsia="仿宋" w:hAnsi="仿宋" w:cs="仿宋"/>
              </w:rPr>
              <w:t>三、部门主要工作总结</w:t>
            </w:r>
            <w:r>
              <w:tab/>
            </w:r>
            <w:r>
              <w:fldChar w:fldCharType="begin"/>
            </w:r>
            <w:r>
              <w:instrText xml:space="preserve"> PAGEREF _Toc256000057 \h </w:instrText>
            </w:r>
            <w:r>
              <w:fldChar w:fldCharType="separate"/>
            </w:r>
            <w:r>
              <w:t>2</w:t>
            </w:r>
            <w:r>
              <w:fldChar w:fldCharType="end"/>
            </w:r>
          </w:hyperlink>
        </w:p>
        <w:p>
          <w:pPr>
            <w:pStyle w:val="TOC2"/>
            <w:tabs>
              <w:tab w:val="right" w:leader="dot" w:pos="9730"/>
            </w:tabs>
            <w:rPr>
              <w:rFonts w:asciiTheme="minorHAnsi" w:hAnsiTheme="minorHAnsi"/>
              <w:noProof/>
              <w:sz w:val="22"/>
            </w:rPr>
          </w:pPr>
          <w:hyperlink w:anchor="_Toc256000058" w:history="1">
            <w:r>
              <w:rPr>
                <w:rStyle w:val="Hyperlink"/>
                <w:rFonts w:ascii="仿宋" w:eastAsia="仿宋" w:hAnsi="仿宋" w:cs="仿宋"/>
              </w:rPr>
              <w:t>第二部分</w:t>
            </w:r>
            <w:r>
              <w:rPr>
                <w:rStyle w:val="Hyperlink"/>
                <w:rFonts w:ascii="SimHei" w:eastAsia="SimHei" w:hAnsi="SimHei" w:cs="SimHei"/>
              </w:rPr>
              <w:t xml:space="preserve"> </w:t>
            </w:r>
            <w:r>
              <w:rPr>
                <w:rStyle w:val="Hyperlink"/>
                <w:rFonts w:ascii="仿宋" w:eastAsia="仿宋" w:hAnsi="仿宋" w:cs="仿宋"/>
              </w:rPr>
              <w:t>2025年度部门决算表</w:t>
            </w:r>
            <w:r>
              <w:tab/>
            </w:r>
            <w:r>
              <w:fldChar w:fldCharType="begin"/>
            </w:r>
            <w:r>
              <w:instrText xml:space="preserve"> PAGEREF _Toc256000058 \h </w:instrText>
            </w:r>
            <w:r>
              <w:fldChar w:fldCharType="separate"/>
            </w:r>
            <w:r>
              <w:t>5</w:t>
            </w:r>
            <w:r>
              <w:fldChar w:fldCharType="end"/>
            </w:r>
          </w:hyperlink>
        </w:p>
        <w:p>
          <w:pPr>
            <w:pStyle w:val="TOC3"/>
            <w:tabs>
              <w:tab w:val="right" w:leader="dot" w:pos="9730"/>
            </w:tabs>
            <w:rPr>
              <w:rFonts w:asciiTheme="minorHAnsi" w:hAnsiTheme="minorHAnsi"/>
              <w:noProof/>
              <w:sz w:val="22"/>
            </w:rPr>
          </w:pPr>
          <w:hyperlink w:anchor="_Toc256000059" w:history="1">
            <w:r>
              <w:rPr>
                <w:rStyle w:val="Hyperlink"/>
                <w:rFonts w:ascii="仿宋" w:eastAsia="仿宋" w:hAnsi="仿宋" w:cs="仿宋"/>
              </w:rPr>
              <w:t>一、收入支出决算总表</w:t>
            </w:r>
            <w:r>
              <w:tab/>
            </w:r>
            <w:r>
              <w:fldChar w:fldCharType="begin"/>
            </w:r>
            <w:r>
              <w:instrText xml:space="preserve"> PAGEREF _Toc256000059 \h </w:instrText>
            </w:r>
            <w:r>
              <w:fldChar w:fldCharType="separate"/>
            </w:r>
            <w:r>
              <w:t>6</w:t>
            </w:r>
            <w:r>
              <w:fldChar w:fldCharType="end"/>
            </w:r>
          </w:hyperlink>
        </w:p>
        <w:p>
          <w:pPr>
            <w:pStyle w:val="TOC3"/>
            <w:tabs>
              <w:tab w:val="right" w:leader="dot" w:pos="9730"/>
            </w:tabs>
            <w:rPr>
              <w:rFonts w:asciiTheme="minorHAnsi" w:hAnsiTheme="minorHAnsi"/>
              <w:noProof/>
              <w:sz w:val="22"/>
            </w:rPr>
          </w:pPr>
          <w:hyperlink w:anchor="_Toc256000060" w:history="1">
            <w:r>
              <w:rPr>
                <w:rStyle w:val="Hyperlink"/>
                <w:rFonts w:ascii="仿宋" w:eastAsia="仿宋" w:hAnsi="仿宋" w:cs="仿宋"/>
              </w:rPr>
              <w:t>二、收入决算表</w:t>
            </w:r>
            <w:r>
              <w:tab/>
            </w:r>
            <w:r>
              <w:fldChar w:fldCharType="begin"/>
            </w:r>
            <w:r>
              <w:instrText xml:space="preserve"> PAGEREF _Toc256000060 \h </w:instrText>
            </w:r>
            <w:r>
              <w:fldChar w:fldCharType="separate"/>
            </w:r>
            <w:r>
              <w:t>8</w:t>
            </w:r>
            <w:r>
              <w:fldChar w:fldCharType="end"/>
            </w:r>
          </w:hyperlink>
        </w:p>
        <w:p>
          <w:pPr>
            <w:pStyle w:val="TOC3"/>
            <w:tabs>
              <w:tab w:val="right" w:leader="dot" w:pos="9730"/>
            </w:tabs>
            <w:rPr>
              <w:rFonts w:asciiTheme="minorHAnsi" w:hAnsiTheme="minorHAnsi"/>
              <w:noProof/>
              <w:sz w:val="22"/>
            </w:rPr>
          </w:pPr>
          <w:hyperlink w:anchor="_Toc256000061" w:history="1">
            <w:r>
              <w:rPr>
                <w:rStyle w:val="Hyperlink"/>
                <w:rFonts w:ascii="仿宋" w:eastAsia="仿宋" w:hAnsi="仿宋" w:cs="仿宋"/>
              </w:rPr>
              <w:t>三、支出决算表</w:t>
            </w:r>
            <w:r>
              <w:tab/>
            </w:r>
            <w:r>
              <w:fldChar w:fldCharType="begin"/>
            </w:r>
            <w:r>
              <w:instrText xml:space="preserve"> PAGEREF _Toc256000061 \h </w:instrText>
            </w:r>
            <w:r>
              <w:fldChar w:fldCharType="separate"/>
            </w:r>
            <w:r>
              <w:t>12</w:t>
            </w:r>
            <w:r>
              <w:fldChar w:fldCharType="end"/>
            </w:r>
          </w:hyperlink>
        </w:p>
        <w:p>
          <w:pPr>
            <w:pStyle w:val="TOC3"/>
            <w:tabs>
              <w:tab w:val="right" w:leader="dot" w:pos="9730"/>
            </w:tabs>
            <w:rPr>
              <w:rFonts w:asciiTheme="minorHAnsi" w:hAnsiTheme="minorHAnsi"/>
              <w:noProof/>
              <w:sz w:val="22"/>
            </w:rPr>
          </w:pPr>
          <w:hyperlink w:anchor="_Toc256000062" w:history="1">
            <w:r>
              <w:rPr>
                <w:rStyle w:val="Hyperlink"/>
                <w:rFonts w:ascii="仿宋" w:eastAsia="仿宋" w:hAnsi="仿宋" w:cs="仿宋"/>
              </w:rPr>
              <w:t>四、财政拨款收入支出决算总表</w:t>
            </w:r>
            <w:r>
              <w:tab/>
            </w:r>
            <w:r>
              <w:fldChar w:fldCharType="begin"/>
            </w:r>
            <w:r>
              <w:instrText xml:space="preserve"> PAGEREF _Toc256000062 \h </w:instrText>
            </w:r>
            <w:r>
              <w:fldChar w:fldCharType="separate"/>
            </w:r>
            <w:r>
              <w:t>16</w:t>
            </w:r>
            <w:r>
              <w:fldChar w:fldCharType="end"/>
            </w:r>
          </w:hyperlink>
        </w:p>
        <w:p>
          <w:pPr>
            <w:pStyle w:val="TOC3"/>
            <w:tabs>
              <w:tab w:val="right" w:leader="dot" w:pos="9730"/>
            </w:tabs>
            <w:rPr>
              <w:rFonts w:asciiTheme="minorHAnsi" w:hAnsiTheme="minorHAnsi"/>
              <w:noProof/>
              <w:sz w:val="22"/>
            </w:rPr>
          </w:pPr>
          <w:hyperlink w:anchor="_Toc256000063" w:history="1">
            <w:r>
              <w:rPr>
                <w:rStyle w:val="Hyperlink"/>
                <w:rFonts w:ascii="仿宋" w:eastAsia="仿宋" w:hAnsi="仿宋" w:cs="仿宋"/>
              </w:rPr>
              <w:t>五、一般公共预算财政拨款支出决算表</w:t>
            </w:r>
            <w:r>
              <w:tab/>
            </w:r>
            <w:r>
              <w:fldChar w:fldCharType="begin"/>
            </w:r>
            <w:r>
              <w:instrText xml:space="preserve"> PAGEREF _Toc256000063 \h </w:instrText>
            </w:r>
            <w:r>
              <w:fldChar w:fldCharType="separate"/>
            </w:r>
            <w:r>
              <w:t>19</w:t>
            </w:r>
            <w:r>
              <w:fldChar w:fldCharType="end"/>
            </w:r>
          </w:hyperlink>
        </w:p>
        <w:p>
          <w:pPr>
            <w:pStyle w:val="TOC3"/>
            <w:tabs>
              <w:tab w:val="right" w:leader="dot" w:pos="9730"/>
            </w:tabs>
            <w:rPr>
              <w:rFonts w:asciiTheme="minorHAnsi" w:hAnsiTheme="minorHAnsi"/>
              <w:noProof/>
              <w:sz w:val="22"/>
            </w:rPr>
          </w:pPr>
          <w:hyperlink w:anchor="_Toc256000064" w:history="1">
            <w:r>
              <w:rPr>
                <w:rStyle w:val="Hyperlink"/>
                <w:rFonts w:ascii="仿宋" w:eastAsia="仿宋" w:hAnsi="仿宋" w:cs="仿宋"/>
              </w:rPr>
              <w:t>六、一般公共预算财政拨款基本支出决算表</w:t>
            </w:r>
            <w:r>
              <w:tab/>
            </w:r>
            <w:r>
              <w:fldChar w:fldCharType="begin"/>
            </w:r>
            <w:r>
              <w:instrText xml:space="preserve"> PAGEREF _Toc256000064 \h </w:instrText>
            </w:r>
            <w:r>
              <w:fldChar w:fldCharType="separate"/>
            </w:r>
            <w:r>
              <w:t>22</w:t>
            </w:r>
            <w:r>
              <w:fldChar w:fldCharType="end"/>
            </w:r>
          </w:hyperlink>
        </w:p>
        <w:p>
          <w:pPr>
            <w:pStyle w:val="TOC3"/>
            <w:tabs>
              <w:tab w:val="right" w:leader="dot" w:pos="9730"/>
            </w:tabs>
            <w:rPr>
              <w:rFonts w:asciiTheme="minorHAnsi" w:hAnsiTheme="minorHAnsi"/>
              <w:noProof/>
              <w:sz w:val="22"/>
            </w:rPr>
          </w:pPr>
          <w:hyperlink w:anchor="_Toc256000065" w:history="1">
            <w:r>
              <w:rPr>
                <w:rStyle w:val="Hyperlink"/>
                <w:rFonts w:ascii="仿宋" w:eastAsia="仿宋" w:hAnsi="仿宋" w:cs="仿宋"/>
              </w:rPr>
              <w:t>七、一般公共预算财政拨款“三公”经费支出决算表</w:t>
            </w:r>
            <w:r>
              <w:tab/>
            </w:r>
            <w:r>
              <w:fldChar w:fldCharType="begin"/>
            </w:r>
            <w:r>
              <w:instrText xml:space="preserve"> PAGEREF _Toc256000065 \h </w:instrText>
            </w:r>
            <w:r>
              <w:fldChar w:fldCharType="separate"/>
            </w:r>
            <w:r>
              <w:t>25</w:t>
            </w:r>
            <w:r>
              <w:fldChar w:fldCharType="end"/>
            </w:r>
          </w:hyperlink>
        </w:p>
        <w:p>
          <w:pPr>
            <w:pStyle w:val="TOC3"/>
            <w:tabs>
              <w:tab w:val="right" w:leader="dot" w:pos="9730"/>
            </w:tabs>
            <w:rPr>
              <w:rFonts w:asciiTheme="minorHAnsi" w:hAnsiTheme="minorHAnsi"/>
              <w:noProof/>
              <w:sz w:val="22"/>
            </w:rPr>
          </w:pPr>
          <w:hyperlink w:anchor="_Toc256000066" w:history="1">
            <w:r>
              <w:rPr>
                <w:rStyle w:val="Hyperlink"/>
                <w:rFonts w:ascii="仿宋" w:eastAsia="仿宋" w:hAnsi="仿宋" w:cs="仿宋"/>
              </w:rPr>
              <w:t>八、政府性基金预算财政拨款收入支出决算表</w:t>
            </w:r>
            <w:r>
              <w:tab/>
            </w:r>
            <w:r>
              <w:fldChar w:fldCharType="begin"/>
            </w:r>
            <w:r>
              <w:instrText xml:space="preserve"> PAGEREF _Toc256000066 \h </w:instrText>
            </w:r>
            <w:r>
              <w:fldChar w:fldCharType="separate"/>
            </w:r>
            <w:r>
              <w:t>26</w:t>
            </w:r>
            <w:r>
              <w:fldChar w:fldCharType="end"/>
            </w:r>
          </w:hyperlink>
        </w:p>
        <w:p>
          <w:pPr>
            <w:pStyle w:val="TOC3"/>
            <w:tabs>
              <w:tab w:val="right" w:leader="dot" w:pos="9730"/>
            </w:tabs>
            <w:rPr>
              <w:rFonts w:asciiTheme="minorHAnsi" w:hAnsiTheme="minorHAnsi"/>
              <w:noProof/>
              <w:sz w:val="22"/>
            </w:rPr>
          </w:pPr>
          <w:hyperlink w:anchor="_Toc256000067" w:history="1">
            <w:r>
              <w:rPr>
                <w:rStyle w:val="Hyperlink"/>
                <w:rFonts w:ascii="仿宋" w:eastAsia="仿宋" w:hAnsi="仿宋" w:cs="仿宋"/>
              </w:rPr>
              <w:t>九、国有资本经营预算财政拨款支出决算表</w:t>
            </w:r>
            <w:r>
              <w:tab/>
            </w:r>
            <w:r>
              <w:fldChar w:fldCharType="begin"/>
            </w:r>
            <w:r>
              <w:instrText xml:space="preserve"> PAGEREF _Toc256000067 \h </w:instrText>
            </w:r>
            <w:r>
              <w:fldChar w:fldCharType="separate"/>
            </w:r>
            <w:r>
              <w:t>27</w:t>
            </w:r>
            <w:r>
              <w:fldChar w:fldCharType="end"/>
            </w:r>
          </w:hyperlink>
        </w:p>
        <w:p>
          <w:pPr>
            <w:pStyle w:val="TOC2"/>
            <w:tabs>
              <w:tab w:val="right" w:leader="dot" w:pos="9730"/>
            </w:tabs>
            <w:rPr>
              <w:rFonts w:asciiTheme="minorHAnsi" w:hAnsiTheme="minorHAnsi"/>
              <w:noProof/>
              <w:sz w:val="22"/>
            </w:rPr>
          </w:pPr>
          <w:hyperlink w:anchor="_Toc256000068" w:history="1">
            <w:r>
              <w:rPr>
                <w:rStyle w:val="Hyperlink"/>
                <w:rFonts w:ascii="仿宋" w:eastAsia="仿宋" w:hAnsi="仿宋" w:cs="仿宋"/>
              </w:rPr>
              <w:t>第三部分</w:t>
            </w:r>
            <w:r>
              <w:rPr>
                <w:rStyle w:val="Hyperlink"/>
                <w:rFonts w:ascii="SimHei" w:eastAsia="SimHei" w:hAnsi="SimHei" w:cs="SimHei"/>
              </w:rPr>
              <w:t xml:space="preserve"> </w:t>
            </w:r>
            <w:r>
              <w:rPr>
                <w:rStyle w:val="Hyperlink"/>
                <w:rFonts w:ascii="仿宋" w:eastAsia="仿宋" w:hAnsi="仿宋" w:cs="仿宋"/>
              </w:rPr>
              <w:t>2025年度部门决算情况说明</w:t>
            </w:r>
            <w:r>
              <w:tab/>
            </w:r>
            <w:r>
              <w:fldChar w:fldCharType="begin"/>
            </w:r>
            <w:r>
              <w:instrText xml:space="preserve"> PAGEREF _Toc256000068 \h </w:instrText>
            </w:r>
            <w:r>
              <w:fldChar w:fldCharType="separate"/>
            </w:r>
            <w:r>
              <w:t>28</w:t>
            </w:r>
            <w:r>
              <w:fldChar w:fldCharType="end"/>
            </w:r>
          </w:hyperlink>
        </w:p>
        <w:p>
          <w:pPr>
            <w:pStyle w:val="TOC3"/>
            <w:tabs>
              <w:tab w:val="right" w:leader="dot" w:pos="9730"/>
            </w:tabs>
            <w:rPr>
              <w:rFonts w:asciiTheme="minorHAnsi" w:hAnsiTheme="minorHAnsi"/>
              <w:noProof/>
              <w:sz w:val="22"/>
            </w:rPr>
          </w:pPr>
          <w:hyperlink w:anchor="_Toc256000069" w:history="1">
            <w:r>
              <w:rPr>
                <w:rStyle w:val="Hyperlink"/>
                <w:rFonts w:ascii="仿宋" w:eastAsia="仿宋" w:hAnsi="仿宋" w:cs="仿宋"/>
              </w:rPr>
              <w:t>一、收入支出决算总体情况说明</w:t>
            </w:r>
            <w:r>
              <w:tab/>
            </w:r>
            <w:r>
              <w:fldChar w:fldCharType="begin"/>
            </w:r>
            <w:r>
              <w:instrText xml:space="preserve"> PAGEREF _Toc256000069 \h </w:instrText>
            </w:r>
            <w:r>
              <w:fldChar w:fldCharType="separate"/>
            </w:r>
            <w:r>
              <w:t>29</w:t>
            </w:r>
            <w:r>
              <w:fldChar w:fldCharType="end"/>
            </w:r>
          </w:hyperlink>
        </w:p>
        <w:p>
          <w:pPr>
            <w:pStyle w:val="TOC3"/>
            <w:tabs>
              <w:tab w:val="right" w:leader="dot" w:pos="9730"/>
            </w:tabs>
            <w:rPr>
              <w:rFonts w:asciiTheme="minorHAnsi" w:hAnsiTheme="minorHAnsi"/>
              <w:noProof/>
              <w:sz w:val="22"/>
            </w:rPr>
          </w:pPr>
          <w:hyperlink w:anchor="_Toc256000070" w:history="1">
            <w:r>
              <w:rPr>
                <w:rStyle w:val="Hyperlink"/>
                <w:rFonts w:ascii="仿宋" w:eastAsia="仿宋" w:hAnsi="仿宋" w:cs="仿宋"/>
              </w:rPr>
              <w:t>二、财政拨款收入支出决算总体情况说明</w:t>
            </w:r>
            <w:r>
              <w:tab/>
            </w:r>
            <w:r>
              <w:fldChar w:fldCharType="begin"/>
            </w:r>
            <w:r>
              <w:instrText xml:space="preserve"> PAGEREF _Toc256000070 \h </w:instrText>
            </w:r>
            <w:r>
              <w:fldChar w:fldCharType="separate"/>
            </w:r>
            <w:r>
              <w:t>30</w:t>
            </w:r>
            <w:r>
              <w:fldChar w:fldCharType="end"/>
            </w:r>
          </w:hyperlink>
        </w:p>
        <w:p>
          <w:pPr>
            <w:pStyle w:val="TOC3"/>
            <w:tabs>
              <w:tab w:val="right" w:leader="dot" w:pos="9730"/>
            </w:tabs>
            <w:rPr>
              <w:rFonts w:asciiTheme="minorHAnsi" w:hAnsiTheme="minorHAnsi"/>
              <w:noProof/>
              <w:sz w:val="22"/>
            </w:rPr>
          </w:pPr>
          <w:hyperlink w:anchor="_Toc256000071" w:history="1">
            <w:r>
              <w:rPr>
                <w:rStyle w:val="Hyperlink"/>
                <w:rFonts w:ascii="仿宋" w:eastAsia="仿宋" w:hAnsi="仿宋" w:cs="仿宋"/>
              </w:rPr>
              <w:t>三、一般公共预算财政拨款支出决算情况说明</w:t>
            </w:r>
            <w:r>
              <w:tab/>
            </w:r>
            <w:r>
              <w:fldChar w:fldCharType="begin"/>
            </w:r>
            <w:r>
              <w:instrText xml:space="preserve"> PAGEREF _Toc256000071 \h </w:instrText>
            </w:r>
            <w:r>
              <w:fldChar w:fldCharType="separate"/>
            </w:r>
            <w:r>
              <w:t>30</w:t>
            </w:r>
            <w:r>
              <w:fldChar w:fldCharType="end"/>
            </w:r>
          </w:hyperlink>
        </w:p>
        <w:p>
          <w:pPr>
            <w:pStyle w:val="TOC3"/>
            <w:tabs>
              <w:tab w:val="right" w:leader="dot" w:pos="9730"/>
            </w:tabs>
            <w:rPr>
              <w:rFonts w:asciiTheme="minorHAnsi" w:hAnsiTheme="minorHAnsi"/>
              <w:noProof/>
              <w:sz w:val="22"/>
            </w:rPr>
          </w:pPr>
          <w:hyperlink w:anchor="_Toc256000072" w:history="1">
            <w:r>
              <w:rPr>
                <w:rStyle w:val="Hyperlink"/>
                <w:rFonts w:ascii="仿宋" w:eastAsia="仿宋" w:hAnsi="仿宋" w:cs="仿宋"/>
              </w:rPr>
              <w:t>四、政府性基金预算财政拨款支出决算情况说明</w:t>
            </w:r>
            <w:r>
              <w:tab/>
            </w:r>
            <w:r>
              <w:fldChar w:fldCharType="begin"/>
            </w:r>
            <w:r>
              <w:instrText xml:space="preserve"> PAGEREF _Toc256000072 \h </w:instrText>
            </w:r>
            <w:r>
              <w:fldChar w:fldCharType="separate"/>
            </w:r>
            <w:r>
              <w:t>31</w:t>
            </w:r>
            <w:r>
              <w:fldChar w:fldCharType="end"/>
            </w:r>
          </w:hyperlink>
        </w:p>
        <w:p>
          <w:pPr>
            <w:pStyle w:val="TOC3"/>
            <w:tabs>
              <w:tab w:val="right" w:leader="dot" w:pos="9730"/>
            </w:tabs>
            <w:rPr>
              <w:rFonts w:asciiTheme="minorHAnsi" w:hAnsiTheme="minorHAnsi"/>
              <w:noProof/>
              <w:sz w:val="22"/>
            </w:rPr>
          </w:pPr>
          <w:hyperlink w:anchor="_Toc256000073" w:history="1">
            <w:r>
              <w:rPr>
                <w:rStyle w:val="Hyperlink"/>
                <w:rFonts w:ascii="仿宋" w:eastAsia="仿宋" w:hAnsi="仿宋" w:cs="仿宋"/>
              </w:rPr>
              <w:t>五、国有资本经营预算财政拨款支出决算情况说明</w:t>
            </w:r>
            <w:r>
              <w:tab/>
            </w:r>
            <w:r>
              <w:fldChar w:fldCharType="begin"/>
            </w:r>
            <w:r>
              <w:instrText xml:space="preserve"> PAGEREF _Toc256000073 \h </w:instrText>
            </w:r>
            <w:r>
              <w:fldChar w:fldCharType="separate"/>
            </w:r>
            <w:r>
              <w:t>32</w:t>
            </w:r>
            <w:r>
              <w:fldChar w:fldCharType="end"/>
            </w:r>
          </w:hyperlink>
        </w:p>
        <w:p>
          <w:pPr>
            <w:pStyle w:val="TOC3"/>
            <w:tabs>
              <w:tab w:val="right" w:leader="dot" w:pos="9730"/>
            </w:tabs>
            <w:rPr>
              <w:rFonts w:asciiTheme="minorHAnsi" w:hAnsiTheme="minorHAnsi"/>
              <w:noProof/>
              <w:sz w:val="22"/>
            </w:rPr>
          </w:pPr>
          <w:hyperlink w:anchor="_Toc256000074" w:history="1">
            <w:r>
              <w:rPr>
                <w:rStyle w:val="Hyperlink"/>
                <w:rFonts w:ascii="仿宋" w:eastAsia="仿宋" w:hAnsi="仿宋" w:cs="仿宋"/>
              </w:rPr>
              <w:t>六、一般公共预算财政拨款基本支出决算情况说明</w:t>
            </w:r>
            <w:r>
              <w:tab/>
            </w:r>
            <w:r>
              <w:fldChar w:fldCharType="begin"/>
            </w:r>
            <w:r>
              <w:instrText xml:space="preserve"> PAGEREF _Toc256000074 \h </w:instrText>
            </w:r>
            <w:r>
              <w:fldChar w:fldCharType="separate"/>
            </w:r>
            <w:r>
              <w:t>32</w:t>
            </w:r>
            <w:r>
              <w:fldChar w:fldCharType="end"/>
            </w:r>
          </w:hyperlink>
        </w:p>
        <w:p>
          <w:pPr>
            <w:pStyle w:val="TOC3"/>
            <w:tabs>
              <w:tab w:val="right" w:leader="dot" w:pos="9730"/>
            </w:tabs>
            <w:rPr>
              <w:rFonts w:asciiTheme="minorHAnsi" w:hAnsiTheme="minorHAnsi"/>
              <w:noProof/>
              <w:sz w:val="22"/>
            </w:rPr>
          </w:pPr>
          <w:hyperlink w:anchor="_Toc256000075" w:history="1">
            <w:r>
              <w:rPr>
                <w:rStyle w:val="Hyperlink"/>
                <w:rFonts w:ascii="仿宋" w:eastAsia="仿宋" w:hAnsi="仿宋" w:cs="仿宋"/>
              </w:rPr>
              <w:t>七、一般公共预算财政拨款“三公”经费支出决算情况说明</w:t>
            </w:r>
            <w:r>
              <w:tab/>
            </w:r>
            <w:r>
              <w:fldChar w:fldCharType="begin"/>
            </w:r>
            <w:r>
              <w:instrText xml:space="preserve"> PAGEREF _Toc256000075 \h </w:instrText>
            </w:r>
            <w:r>
              <w:fldChar w:fldCharType="separate"/>
            </w:r>
            <w:r>
              <w:t>32</w:t>
            </w:r>
            <w:r>
              <w:fldChar w:fldCharType="end"/>
            </w:r>
          </w:hyperlink>
        </w:p>
        <w:p>
          <w:pPr>
            <w:pStyle w:val="TOC3"/>
            <w:tabs>
              <w:tab w:val="right" w:leader="dot" w:pos="9730"/>
            </w:tabs>
            <w:rPr>
              <w:rFonts w:asciiTheme="minorHAnsi" w:hAnsiTheme="minorHAnsi"/>
              <w:noProof/>
              <w:sz w:val="22"/>
            </w:rPr>
          </w:pPr>
          <w:hyperlink w:anchor="_Toc256000076" w:history="1">
            <w:r>
              <w:rPr>
                <w:rStyle w:val="Hyperlink"/>
                <w:rFonts w:ascii="仿宋" w:eastAsia="仿宋" w:hAnsi="仿宋" w:cs="仿宋"/>
              </w:rPr>
              <w:t>八、预算绩效情况说明</w:t>
            </w:r>
            <w:r>
              <w:tab/>
            </w:r>
            <w:r>
              <w:fldChar w:fldCharType="begin"/>
            </w:r>
            <w:r>
              <w:instrText xml:space="preserve"> PAGEREF _Toc256000076 \h </w:instrText>
            </w:r>
            <w:r>
              <w:fldChar w:fldCharType="separate"/>
            </w:r>
            <w:r>
              <w:t>33</w:t>
            </w:r>
            <w:r>
              <w:fldChar w:fldCharType="end"/>
            </w:r>
          </w:hyperlink>
        </w:p>
        <w:p>
          <w:pPr>
            <w:pStyle w:val="TOC3"/>
            <w:tabs>
              <w:tab w:val="right" w:leader="dot" w:pos="9730"/>
            </w:tabs>
            <w:rPr>
              <w:rFonts w:asciiTheme="minorHAnsi" w:hAnsiTheme="minorHAnsi"/>
              <w:noProof/>
              <w:sz w:val="22"/>
            </w:rPr>
          </w:pPr>
          <w:hyperlink w:anchor="_Toc256000077" w:history="1">
            <w:r>
              <w:rPr>
                <w:rStyle w:val="Hyperlink"/>
                <w:rFonts w:ascii="仿宋" w:eastAsia="仿宋" w:hAnsi="仿宋" w:cs="仿宋"/>
              </w:rPr>
              <w:t>九、其他重要事项说明</w:t>
            </w:r>
            <w:r>
              <w:tab/>
            </w:r>
            <w:r>
              <w:fldChar w:fldCharType="begin"/>
            </w:r>
            <w:r>
              <w:instrText xml:space="preserve"> PAGEREF _Toc256000077 \h </w:instrText>
            </w:r>
            <w:r>
              <w:fldChar w:fldCharType="separate"/>
            </w:r>
            <w:r>
              <w:t>33</w:t>
            </w:r>
            <w:r>
              <w:fldChar w:fldCharType="end"/>
            </w:r>
          </w:hyperlink>
        </w:p>
        <w:p>
          <w:pPr>
            <w:pStyle w:val="TOC2"/>
            <w:tabs>
              <w:tab w:val="right" w:leader="dot" w:pos="9730"/>
            </w:tabs>
            <w:rPr>
              <w:rFonts w:asciiTheme="minorHAnsi" w:hAnsiTheme="minorHAnsi"/>
              <w:noProof/>
              <w:sz w:val="22"/>
            </w:rPr>
          </w:pPr>
          <w:hyperlink w:anchor="_Toc256000079" w:history="1">
            <w:r>
              <w:rPr>
                <w:rStyle w:val="Hyperlink"/>
                <w:rFonts w:ascii="仿宋" w:eastAsia="仿宋" w:hAnsi="仿宋" w:cs="仿宋"/>
              </w:rPr>
              <w:t>第四部分</w:t>
            </w:r>
            <w:r>
              <w:rPr>
                <w:rStyle w:val="Hyperlink"/>
                <w:rFonts w:ascii="SimHei" w:eastAsia="SimHei" w:hAnsi="SimHei" w:cs="SimHei"/>
              </w:rPr>
              <w:t xml:space="preserve"> </w:t>
            </w:r>
            <w:r>
              <w:rPr>
                <w:rStyle w:val="Hyperlink"/>
                <w:rFonts w:ascii="仿宋" w:eastAsia="仿宋" w:hAnsi="仿宋" w:cs="仿宋"/>
              </w:rPr>
              <w:t>名词解释</w:t>
            </w:r>
            <w:r>
              <w:tab/>
            </w:r>
            <w:r>
              <w:fldChar w:fldCharType="begin"/>
            </w:r>
            <w:r>
              <w:instrText xml:space="preserve"> PAGEREF _Toc256000079 \h </w:instrText>
            </w:r>
            <w:r>
              <w:fldChar w:fldCharType="separate"/>
            </w:r>
            <w:r>
              <w:t>35</w:t>
            </w:r>
            <w:r>
              <w:fldChar w:fldCharType="end"/>
            </w:r>
          </w:hyperlink>
        </w:p>
        <w:p>
          <w:pPr>
            <w:pStyle w:val="TOC2"/>
            <w:tabs>
              <w:tab w:val="right" w:leader="dot" w:pos="9730"/>
            </w:tabs>
            <w:rPr>
              <w:rFonts w:asciiTheme="minorHAnsi" w:hAnsiTheme="minorHAnsi"/>
              <w:noProof/>
              <w:sz w:val="22"/>
            </w:rPr>
          </w:pPr>
          <w:hyperlink w:anchor="_Toc256000080" w:history="1">
            <w:r>
              <w:rPr>
                <w:rStyle w:val="Hyperlink"/>
                <w:rFonts w:ascii="仿宋" w:eastAsia="仿宋" w:hAnsi="仿宋" w:cs="仿宋"/>
              </w:rPr>
              <w:t>第五部分</w:t>
            </w:r>
            <w:r>
              <w:rPr>
                <w:rStyle w:val="Hyperlink"/>
                <w:rFonts w:ascii="SimHei" w:eastAsia="SimHei" w:hAnsi="SimHei" w:cs="SimHei"/>
              </w:rPr>
              <w:t xml:space="preserve"> </w:t>
            </w:r>
            <w:r>
              <w:rPr>
                <w:rStyle w:val="Hyperlink"/>
                <w:rFonts w:ascii="仿宋" w:eastAsia="仿宋" w:hAnsi="仿宋" w:cs="仿宋"/>
              </w:rPr>
              <w:t>附件</w:t>
            </w:r>
            <w:r>
              <w:tab/>
            </w:r>
            <w:r>
              <w:fldChar w:fldCharType="begin"/>
            </w:r>
            <w:r>
              <w:instrText xml:space="preserve"> PAGEREF _Toc256000080 \h </w:instrText>
            </w:r>
            <w:r>
              <w:fldChar w:fldCharType="separate"/>
            </w:r>
            <w:r>
              <w:t>38</w:t>
            </w:r>
            <w:r>
              <w:fldChar w:fldCharType="end"/>
            </w:r>
          </w:hyperlink>
        </w:p>
        <w:p>
          <w:pPr>
            <w:adjustRightInd w:val="0"/>
            <w:snapToGrid w:val="0"/>
            <w:rPr>
              <w:rFonts w:ascii="宋体" w:hAnsi="宋体"/>
              <w:b/>
              <w:sz w:val="32"/>
              <w:szCs w:val="32"/>
            </w:rPr>
            <w:sectPr>
              <w:footerReference w:type="default" r:id="rId6"/>
              <w:pgSz w:w="11906" w:h="16838"/>
              <w:pgMar w:top="1440" w:right="1083" w:bottom="1440" w:left="1083" w:header="0" w:footer="720" w:gutter="0"/>
              <w:pgNumType w:start="1"/>
              <w:cols w:num="1" w:space="0"/>
              <w:titlePg w:val="0"/>
              <w:rtlGutter w:val="0"/>
              <w:docGrid w:type="lines" w:linePitch="317" w:charSpace="0"/>
            </w:sectPr>
          </w:pPr>
          <w:r>
            <w:rPr>
              <w:rFonts w:ascii="仿宋" w:eastAsia="仿宋" w:hAnsi="仿宋" w:cs="仿宋" w:hint="eastAsia"/>
              <w:b w:val="0"/>
              <w:bCs/>
              <w:kern w:val="2"/>
              <w:sz w:val="32"/>
              <w:szCs w:val="32"/>
              <w:lang w:val="en-US" w:eastAsia="zh-CN" w:bidi="ar-SA"/>
            </w:rPr>
            <w:fldChar w:fldCharType="end"/>
          </w:r>
        </w:p>
      </w:sdtContent>
    </w:sdt>
    <w:p w14:paraId="70202DA5">
      <w:pPr>
        <w:pStyle w:val="MsoNormal"/>
        <w:widowControl/>
        <w:spacing w:before="100" w:after="100"/>
        <w:ind w:left="100" w:right="100" w:firstLine="0"/>
        <w:jc w:val="left"/>
        <w:rPr>
          <w:rFonts w:ascii="Times New Roman" w:eastAsia="Times New Roman" w:hAnsi="Times New Roman" w:cs="Times New Roman"/>
          <w:kern w:val="0"/>
          <w:sz w:val="24"/>
        </w:rPr>
      </w:pPr>
      <w:bookmarkStart w:id="1" w:name="a000"/>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p>
    <w:p>
      <w:pPr>
        <w:pStyle w:val="MsoNormal"/>
        <w:widowControl/>
        <w:spacing w:before="100" w:after="100"/>
        <w:ind w:left="100" w:right="100" w:firstLine="0"/>
        <w:jc w:val="left"/>
        <w:rPr>
          <w:rFonts w:ascii="Times New Roman" w:eastAsia="Times New Roman" w:hAnsi="Times New Roman" w:cs="Times New Roman"/>
          <w:kern w:val="0"/>
          <w:sz w:val="24"/>
        </w:rPr>
      </w:pPr>
    </w:p>
    <w:p>
      <w:pPr>
        <w:pStyle w:val="MsoNormal"/>
        <w:widowControl/>
        <w:spacing w:before="100" w:after="100"/>
        <w:ind w:left="100" w:right="100" w:firstLine="0"/>
        <w:jc w:val="left"/>
        <w:rPr>
          <w:rFonts w:ascii="Times New Roman" w:eastAsia="Times New Roman" w:hAnsi="Times New Roman" w:cs="Times New Roman"/>
          <w:kern w:val="0"/>
          <w:sz w:val="24"/>
        </w:rPr>
      </w:pP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SimSun" w:eastAsia="SimSun" w:hAnsi="SimSun" w:cs="SimSun"/>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SimSun" w:eastAsia="SimSun" w:hAnsi="SimSun" w:cs="SimSun"/>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SimSun" w:eastAsia="SimSun" w:hAnsi="SimSun" w:cs="SimSun"/>
          <w:spacing w:val="0"/>
          <w:kern w:val="0"/>
          <w:sz w:val="36"/>
          <w:szCs w:val="36"/>
        </w:rPr>
        <w:t> </w:t>
      </w: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2" w:name="_Toc256000054"/>
      <w:r>
        <w:rPr>
          <w:rFonts w:ascii="SimHei" w:eastAsia="SimHei" w:hAnsi="SimHei" w:cs="SimHei"/>
          <w:b w:val="0"/>
          <w:bCs w:val="0"/>
          <w:spacing w:val="0"/>
          <w:sz w:val="56"/>
          <w:szCs w:val="56"/>
        </w:rPr>
        <w:t>第一部分</w:t>
      </w:r>
      <w:r>
        <w:rPr>
          <w:rFonts w:ascii="SimHei" w:eastAsia="SimHei" w:hAnsi="SimHei" w:cs="SimHei"/>
          <w:b w:val="0"/>
          <w:bCs w:val="0"/>
          <w:spacing w:val="0"/>
          <w:sz w:val="56"/>
          <w:szCs w:val="56"/>
        </w:rPr>
        <w:br/>
      </w:r>
      <w:r>
        <w:rPr>
          <w:rFonts w:ascii="SimHei" w:eastAsia="SimHei" w:hAnsi="SimHei" w:cs="SimHei"/>
          <w:b w:val="0"/>
          <w:bCs w:val="0"/>
          <w:spacing w:val="0"/>
          <w:sz w:val="56"/>
          <w:szCs w:val="56"/>
        </w:rPr>
        <w:t>部门概况</w:t>
      </w:r>
      <w:bookmarkEnd w:id="2"/>
    </w:p>
    <w:p>
      <w:pPr>
        <w:pStyle w:val="MsoNormal"/>
        <w:widowControl/>
        <w:spacing w:before="100" w:after="100"/>
        <w:ind w:left="100" w:right="100" w:firstLine="0"/>
        <w:jc w:val="center"/>
        <w:rPr>
          <w:rFonts w:ascii="Times New Roman" w:eastAsia="Times New Roman" w:hAnsi="Times New Roman" w:cs="Times New Roman"/>
          <w:kern w:val="0"/>
          <w:sz w:val="24"/>
        </w:rPr>
      </w:pPr>
    </w:p>
    <w:p>
      <w:pPr>
        <w:sectPr>
          <w:footerReference w:type="default" r:id="rId7"/>
          <w:type w:val="nextPage"/>
          <w:pgSz w:w="11906" w:h="16838"/>
          <w:pgMar w:right="720" w:left="720" w:header="720" w:footer="720"/>
          <w:pgNumType w:start="1"/>
          <w:cols w:space="720"/>
          <w:titlePg w:val="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spacing w:before="240" w:after="240"/>
        <w:jc w:val="left"/>
        <w:rPr>
          <w:rFonts w:ascii="Times New Roman" w:eastAsia="Times New Roman" w:hAnsi="Times New Roman" w:cs="Times New Roman"/>
          <w:kern w:val="0"/>
          <w:sz w:val="24"/>
        </w:rPr>
      </w:pPr>
    </w:p>
    <w:p>
      <w:pPr>
        <w:widowControl/>
        <w:spacing w:before="240" w:after="240"/>
        <w:jc w:val="left"/>
        <w:rPr>
          <w:rFonts w:ascii="Times New Roman" w:eastAsia="Times New Roman" w:hAnsi="Times New Roman" w:cs="Times New Roman"/>
          <w:kern w:val="0"/>
          <w:sz w:val="24"/>
        </w:rPr>
      </w:pP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3" w:name="_Toc256000055"/>
      <w:r>
        <w:rPr>
          <w:rFonts w:ascii="SimHei" w:eastAsia="SimHei" w:hAnsi="SimHei" w:cs="SimHei"/>
          <w:b w:val="0"/>
          <w:bCs w:val="0"/>
          <w:spacing w:val="0"/>
        </w:rPr>
        <w:t>一、部门主要职责</w:t>
      </w:r>
      <w:bookmarkEnd w:id="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三明市三元区徐碧街道办事处部门的主要职责是：辖区行政管理。</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4" w:name="_Toc256000056"/>
      <w:r>
        <w:rPr>
          <w:rFonts w:ascii="SimHei" w:eastAsia="SimHei" w:hAnsi="SimHei" w:cs="SimHei"/>
          <w:b w:val="0"/>
          <w:bCs w:val="0"/>
          <w:spacing w:val="0"/>
        </w:rPr>
        <w:t>二、部门决算单位基本情况</w:t>
      </w:r>
      <w:bookmarkEnd w:id="4"/>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从决算单位构成看，三明市三元区徐碧街道办事处部门包括4个机关行政处（科、股）室</w:t>
      </w:r>
      <w:r>
        <w:rPr>
          <w:rFonts w:ascii="FangSong_GB2312" w:eastAsia="FangSong_GB2312" w:hAnsi="FangSong_GB2312" w:cs="FangSong_GB2312"/>
          <w:kern w:val="0"/>
          <w:sz w:val="32"/>
          <w:szCs w:val="32"/>
        </w:rPr>
        <w:t>，其中：列入2025年部门决算编制范围的单位详细情况见下表:</w:t>
      </w:r>
    </w:p>
    <w:tbl>
      <w:tblPr>
        <w:tblW w:w="5000" w:type="pct"/>
        <w:tblInd w:w="13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Pr>
      <w:tblGrid>
        <w:gridCol w:w="1558"/>
        <w:gridCol w:w="8952"/>
      </w:tblGrid>
      <w:tr>
        <w:tblPrEx>
          <w:tblW w:w="5000" w:type="pct"/>
          <w:tblInd w:w="13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PrEx>
        <w:trPr>
          <w:cantSplit/>
          <w:tblHeader/>
        </w:trPr>
        <w:tc>
          <w:tcPr>
            <w:tcW w:w="1420" w:type="dxa"/>
            <w:tcBorders>
              <w:top w:val="outset" w:sz="6" w:space="0" w:color="808080"/>
              <w:left w:val="outset" w:sz="6" w:space="0" w:color="808080"/>
              <w:bottom w:val="outset" w:sz="6" w:space="0" w:color="808080"/>
              <w:right w:val="outset" w:sz="6" w:space="0" w:color="808080"/>
            </w:tcBorders>
            <w:noWrap w:val="0"/>
            <w:tcMar>
              <w:top w:w="15" w:type="dxa"/>
              <w:left w:w="22" w:type="dxa"/>
              <w:bottom w:w="15" w:type="dxa"/>
              <w:right w:w="22" w:type="dxa"/>
            </w:tcMar>
            <w:vAlign w:val="center"/>
            <w:hideMark/>
          </w:tcPr>
          <w:p>
            <w:pPr>
              <w:widowControl/>
              <w:ind w:firstLine="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序号</w:t>
            </w:r>
          </w:p>
        </w:tc>
        <w:tc>
          <w:tcPr>
            <w:tcW w:w="8160" w:type="dxa"/>
            <w:tcBorders>
              <w:top w:val="outset" w:sz="6" w:space="0" w:color="808080"/>
              <w:left w:val="outset" w:sz="6" w:space="0" w:color="808080"/>
              <w:bottom w:val="outset" w:sz="6" w:space="0" w:color="808080"/>
              <w:right w:val="outset" w:sz="6" w:space="0" w:color="808080"/>
            </w:tcBorders>
            <w:noWrap w:val="0"/>
            <w:tcMar>
              <w:top w:w="15" w:type="dxa"/>
              <w:left w:w="22" w:type="dxa"/>
              <w:bottom w:w="15" w:type="dxa"/>
              <w:right w:w="22" w:type="dxa"/>
            </w:tcMar>
            <w:vAlign w:val="center"/>
            <w:hideMark/>
          </w:tcPr>
          <w:p>
            <w:pPr>
              <w:widowControl/>
              <w:ind w:firstLine="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单位名称</w:t>
            </w:r>
          </w:p>
        </w:tc>
      </w:tr>
      <w:tr>
        <w:tblPrEx>
          <w:tblW w:w="5000" w:type="pct"/>
          <w:tblInd w:w="130" w:type="dxa"/>
          <w:tblLayout w:type="fixed"/>
          <w:tblCellMar>
            <w:top w:w="15" w:type="dxa"/>
            <w:left w:w="15" w:type="dxa"/>
            <w:bottom w:w="15" w:type="dxa"/>
            <w:right w:w="15" w:type="dxa"/>
          </w:tblCellMar>
        </w:tblPrEx>
        <w:trPr>
          <w:cantSplit/>
        </w:trPr>
        <w:tc>
          <w:tcPr>
            <w:tcW w:w="1420" w:type="dxa"/>
            <w:tcBorders>
              <w:top w:val="outset" w:sz="6" w:space="0" w:color="808080"/>
              <w:left w:val="outset" w:sz="6" w:space="0" w:color="808080"/>
              <w:bottom w:val="outset" w:sz="6" w:space="0" w:color="808080"/>
              <w:right w:val="outset" w:sz="6" w:space="0" w:color="808080"/>
            </w:tcBorders>
            <w:noWrap w:val="0"/>
            <w:tcMar>
              <w:top w:w="15" w:type="dxa"/>
              <w:left w:w="22" w:type="dxa"/>
              <w:bottom w:w="15" w:type="dxa"/>
              <w:right w:w="22" w:type="dxa"/>
            </w:tcMar>
            <w:vAlign w:val="center"/>
            <w:hideMark/>
          </w:tcPr>
          <w:p>
            <w:pPr>
              <w:widowControl/>
              <w:ind w:firstLine="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1</w:t>
            </w:r>
          </w:p>
        </w:tc>
        <w:tc>
          <w:tcPr>
            <w:tcW w:w="8160" w:type="dxa"/>
            <w:tcBorders>
              <w:top w:val="outset" w:sz="6" w:space="0" w:color="808080"/>
              <w:left w:val="outset" w:sz="6" w:space="0" w:color="808080"/>
              <w:bottom w:val="outset" w:sz="6" w:space="0" w:color="808080"/>
              <w:right w:val="outset" w:sz="6" w:space="0" w:color="808080"/>
            </w:tcBorders>
            <w:noWrap w:val="0"/>
            <w:tcMar>
              <w:top w:w="15" w:type="dxa"/>
              <w:left w:w="22" w:type="dxa"/>
              <w:bottom w:w="15" w:type="dxa"/>
              <w:right w:w="22" w:type="dxa"/>
            </w:tcMar>
            <w:vAlign w:val="center"/>
            <w:hideMark/>
          </w:tcPr>
          <w:p>
            <w:pPr>
              <w:widowControl/>
              <w:ind w:firstLine="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三明市三元区徐碧街道办事处</w:t>
            </w:r>
          </w:p>
        </w:tc>
      </w:tr>
    </w:tbl>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5" w:name="_Toc256000057"/>
      <w:r>
        <w:rPr>
          <w:rFonts w:ascii="SimHei" w:eastAsia="SimHei" w:hAnsi="SimHei" w:cs="SimHei"/>
          <w:b w:val="0"/>
          <w:bCs w:val="0"/>
          <w:spacing w:val="0"/>
        </w:rPr>
        <w:t>三、部门主要工作总结</w:t>
      </w:r>
      <w:bookmarkEnd w:id="5"/>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三明市三元区徐碧街道办事处部门主要任务是：2025年，三明市三元区人民政府徐碧街道办事处主要任务是：贯彻执行党和国家的路线、方针、政策和上级人民政府关于街道工作方面的决定，制定具体的管理办法并组织实施。围绕上述任务，重点完成了以下工作：</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kern w:val="0"/>
          <w:sz w:val="32"/>
          <w:szCs w:val="32"/>
        </w:rPr>
        <w:t>（一）聚焦基层党建，着力打造特色品牌。聚焦提升村（居）干部履职能力，围绕党的方针政策、党务知识、乡村振兴社区治理等开展村（社区）党员干部培训2期。深化“党建+治理”融合，推动物业党建联建扩面、新兴领域品牌升级,培育新兴领域党建示范点2个。聚焦商圈领域，按照“党建红、商圈旺、文化兴、民生暖、环境安”的工作思路，探索“三融三聚”商圈党建新模式，年内解决商户诉求60件以上；建成15分钟惠商服务圈，实现政策咨询、证照代办等服务“就近办”，打造“融万商，聚邻力”党建品牌，为探索革命老区共同富裕持续释放党建“红色引擎”新动能。（二）聚焦“群腐”整治，着力改善工作作风。针对“三资”处置、工程招投标、乡村振兴资金使用等关键环节，建立“重点清单+靶向监督”模式，每季度开展1次专项督查，精准发现和查处问题，定期开展“回头看”，防止反弹回潮，推动整治成果常态化、长效化。完善“未巡先改”工作机制，建立健全巡视巡察成果离任交接制度，常态化开展警示教育，通过典型案例通报、廉政党课等形式，每半年覆盖全体基层干部。（三）聚焦经济发展，着力激发内生动力。以沪明合作、山海协作为契机，对接新型企业项目9个以上，其中亿元级项目2个。健全项目全周期跟踪服务机制，针对高性能铸锻件智能生产等重点招商项目，成立专班精准破题，确保项目高效落地。动态更新种子企业培育库，纳入企业18家，开展惠企政策宣讲6场，推动阿维塔、极光通信等企业上规入统；对三明市全民健身中心、三明豪生大酒店、御泷湾汤泉休闲中心等3个重点三产项目,实行全过程跟踪服务，确保按序时完成投资目标.加大招商引资力度，瞄准优质资源精准对接，推动全季酒店等项目尽快落地。（四）聚焦提档升级，着力增进民生福祉。探索“城郊休闲旅游一体化”消费模式，推进洋山村170亩黄花萱草种植基地建设，配套建设观光步道、休憩驿站等设施，打造近郊文旅示范点；整合少数民族特色资源，开发民俗体验线路，做活“少数民族观光旅游”一盘棋。打造徐碧街道、六路社区医保便民服务示范点，推进玖珑社区、六路社区完整居住社区建设，完成玖珑溪至凤凰湖水系等4个海绵化提升改造项目，办好民生实事。聚焦“一老一小”照护难题、居民日常生活中的家政服务、维修需求，探索“街道+社区+第三方公司”的服务模式，推进适老化改造工作，逐步完善社区服务体系。（五）聚焦风险防范，着力维护社会稳定。落实安全生产治本攻坚三年行动要求，对道路交通、“三合一”场所、动火作业、燃气、小散工程、冷库等重点领域，每月开展1次隐患排查，高危行业企业、高风险区域主要负责人每月带队检查1次，各班子针对分管领域每季度全覆盖检查。建立重大隐患数据库，实现动态清零。常态化开展扫黑除恶、严重精神障碍患者管理、铁路护路、防范电信网络诈骗、宗教安全等工作，落实重点人员管控措施，及时处置好各类矛盾纠纷和突发性群体事件，强化防范化解各类风险隐患能力。针对性开展反诈警示教育，对重点人员上门指导安装反诈app,推动反诈知识普及。</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sectPr>
          <w:footerReference w:type="default" r:id="rId8"/>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spacing w:before="240" w:after="240"/>
        <w:jc w:val="left"/>
        <w:rPr>
          <w:rFonts w:ascii="Times New Roman" w:eastAsia="Times New Roman" w:hAnsi="Times New Roman" w:cs="Times New Roman"/>
          <w:kern w:val="0"/>
          <w:sz w:val="24"/>
        </w:rPr>
      </w:pPr>
    </w:p>
    <w:p>
      <w:pPr>
        <w:widowControl/>
        <w:spacing w:before="240" w:after="2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6" w:name="_Toc256000058"/>
      <w:r>
        <w:rPr>
          <w:rFonts w:ascii="SimHei" w:eastAsia="SimHei" w:hAnsi="SimHei" w:cs="SimHei"/>
          <w:b w:val="0"/>
          <w:bCs w:val="0"/>
          <w:spacing w:val="0"/>
          <w:sz w:val="56"/>
          <w:szCs w:val="56"/>
        </w:rPr>
        <w:t>第二部分</w:t>
      </w:r>
      <w:r>
        <w:rPr>
          <w:rFonts w:ascii="SimHei" w:eastAsia="SimHei" w:hAnsi="SimHei" w:cs="SimHei"/>
          <w:b w:val="0"/>
          <w:bCs w:val="0"/>
          <w:spacing w:val="0"/>
          <w:sz w:val="56"/>
          <w:szCs w:val="56"/>
        </w:rPr>
        <w:br/>
      </w:r>
      <w:r>
        <w:rPr>
          <w:rFonts w:ascii="SimHei" w:eastAsia="SimHei" w:hAnsi="SimHei" w:cs="SimHei"/>
          <w:b w:val="0"/>
          <w:bCs w:val="0"/>
          <w:spacing w:val="0"/>
          <w:sz w:val="56"/>
          <w:szCs w:val="56"/>
        </w:rPr>
        <w:t>2025年度部门决算表</w:t>
      </w:r>
      <w:bookmarkEnd w:id="6"/>
    </w:p>
    <w:p>
      <w:pPr>
        <w:pStyle w:val="p"/>
        <w:widowControl/>
        <w:spacing w:before="100" w:after="100"/>
        <w:ind w:left="100" w:right="100" w:firstLine="0"/>
        <w:jc w:val="center"/>
        <w:rPr>
          <w:rFonts w:ascii="Times New Roman" w:eastAsia="Times New Roman" w:hAnsi="Times New Roman" w:cs="Times New Roman"/>
          <w:kern w:val="0"/>
          <w:sz w:val="24"/>
        </w:rPr>
      </w:pPr>
    </w:p>
    <w:p>
      <w:pPr>
        <w:sectPr>
          <w:footerReference w:type="default" r:id="rId9"/>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spacing w:before="240" w:after="240"/>
        <w:jc w:val="left"/>
        <w:rPr>
          <w:rFonts w:ascii="Times New Roman" w:eastAsia="Times New Roman" w:hAnsi="Times New Roman" w:cs="Times New Roman"/>
          <w:kern w:val="0"/>
          <w:sz w:val="24"/>
        </w:rPr>
      </w:pPr>
    </w:p>
    <w:p>
      <w:pPr>
        <w:widowControl/>
        <w:spacing w:before="240" w:after="240"/>
        <w:jc w:val="left"/>
        <w:rPr>
          <w:rFonts w:ascii="Times New Roman" w:eastAsia="Times New Roman" w:hAnsi="Times New Roman" w:cs="Times New Roman"/>
          <w:kern w:val="0"/>
          <w:sz w:val="24"/>
        </w:rPr>
      </w:pP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7" w:name="_Toc256000059"/>
      <w:r>
        <w:rPr>
          <w:rFonts w:ascii="SimHei" w:eastAsia="SimHei" w:hAnsi="SimHei" w:cs="SimHei"/>
          <w:b w:val="0"/>
          <w:bCs w:val="0"/>
          <w:spacing w:val="0"/>
        </w:rPr>
        <w:t>一、收入支出决算总表</w:t>
      </w:r>
      <w:bookmarkEnd w:id="7"/>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3789"/>
        <w:gridCol w:w="3790"/>
        <w:gridCol w:w="3790"/>
        <w:gridCol w:w="3790"/>
      </w:tblGrid>
      <w:tr>
        <w:tblPrEx>
          <w:tblW w:w="5000" w:type="pct"/>
          <w:tblInd w:w="20" w:type="dxa"/>
          <w:tblLayout w:type="fixed"/>
          <w:tblCellMar>
            <w:top w:w="0" w:type="dxa"/>
            <w:left w:w="108" w:type="dxa"/>
            <w:bottom w:w="0" w:type="dxa"/>
            <w:right w:w="108" w:type="dxa"/>
          </w:tblCellMar>
        </w:tblPrEx>
        <w:trPr>
          <w:cantSplit/>
          <w:tblHeader/>
        </w:trPr>
        <w:tc>
          <w:tcPr>
            <w:tcW w:w="16380" w:type="dxa"/>
            <w:gridSpan w:val="4"/>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收入支出决算总表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公开01表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3"/>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编制单位：三明市三元区徐碧街道办事处</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收入</w:t>
            </w:r>
          </w:p>
        </w:tc>
        <w:tc>
          <w:tcPr>
            <w:tcW w:w="21600"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项目(按支出功能分类)</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1,916.92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852.60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105.26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二、外交支出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三、国防支出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四、上级补助收入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五、事业收入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六、经营收入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六、科学技术支出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七、附属单位上缴收入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八、其他收入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九、卫生健康支出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350.37</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十一、城乡社区支出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385.72</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十二、农林水支出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113.06</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十三、交通运输支出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十四、资源勘探工业信息等支出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十五、商业服务业等支出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十六、金融支出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十七、援助其他地区支出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十八、自然资源海洋气象等支出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十九、住房保障支出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二十、粮油物资储备支出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二十一、国有资本经营预算支出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二十二、灾害防治及应急管理支出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二十三、其他支出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99.74</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二十四、债务还本支出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二十五、债务付息支出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二十六、抗疫特别国债安排的支出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2,022.19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2,022.19</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使用非财政拨款结余（含专用结余）</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结余分配</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年末结转和结余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总计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2,022.19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总计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2,022.19</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4"/>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注：1.本表反映单位本年度的总收支和年末结转结余情况。</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4"/>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2.本套报表金额单位转换时可能存在尾数误差。</w:t>
            </w:r>
          </w:p>
        </w:tc>
      </w:tr>
    </w:tbl>
    <w:p>
      <w:pPr>
        <w:sectPr>
          <w:footerReference w:type="default" r:id="rId10"/>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240" w:after="240"/>
        <w:jc w:val="left"/>
        <w:rPr>
          <w:rFonts w:ascii="Times New Roman" w:eastAsia="Times New Roman" w:hAnsi="Times New Roman" w:cs="Times New Roman"/>
          <w:kern w:val="0"/>
          <w:sz w:val="24"/>
        </w:rPr>
      </w:pPr>
      <w:r>
        <w:rPr>
          <w:rFonts w:ascii="SimSun" w:eastAsia="SimSun" w:hAnsi="SimSun" w:cs="SimSun"/>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8" w:name="_Toc256000060"/>
      <w:r>
        <w:rPr>
          <w:rFonts w:ascii="SimHei" w:eastAsia="SimHei" w:hAnsi="SimHei" w:cs="SimHei"/>
          <w:b w:val="0"/>
          <w:bCs w:val="0"/>
          <w:spacing w:val="0"/>
        </w:rPr>
        <w:t>二、收入决算表</w:t>
      </w:r>
      <w:bookmarkEnd w:id="8"/>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gk02</w:t>
      </w:r>
    </w:p>
    <w:tbl>
      <w:tblPr>
        <w:tblW w:w="5000" w:type="pct"/>
        <w:tblInd w:w="20" w:type="dxa"/>
        <w:tblLayout w:type="fixed"/>
        <w:tblCellMar>
          <w:top w:w="0" w:type="dxa"/>
          <w:left w:w="108" w:type="dxa"/>
          <w:bottom w:w="0" w:type="dxa"/>
          <w:right w:w="108" w:type="dxa"/>
        </w:tblCellMar>
      </w:tblPr>
      <w:tblGrid>
        <w:gridCol w:w="579"/>
        <w:gridCol w:w="578"/>
        <w:gridCol w:w="578"/>
        <w:gridCol w:w="1678"/>
        <w:gridCol w:w="1678"/>
        <w:gridCol w:w="1678"/>
        <w:gridCol w:w="1678"/>
        <w:gridCol w:w="1678"/>
        <w:gridCol w:w="1678"/>
        <w:gridCol w:w="1678"/>
        <w:gridCol w:w="1678"/>
      </w:tblGrid>
      <w:tr>
        <w:tblPrEx>
          <w:tblW w:w="5000" w:type="pct"/>
          <w:tblInd w:w="20" w:type="dxa"/>
          <w:tblLayout w:type="fixed"/>
          <w:tblCellMar>
            <w:top w:w="0" w:type="dxa"/>
            <w:left w:w="108" w:type="dxa"/>
            <w:bottom w:w="0" w:type="dxa"/>
            <w:right w:w="108" w:type="dxa"/>
          </w:tblCellMar>
        </w:tblPrEx>
        <w:trPr>
          <w:cantSplit/>
          <w:tblHeader/>
        </w:trPr>
        <w:tc>
          <w:tcPr>
            <w:tcW w:w="14578" w:type="dxa"/>
            <w:gridSpan w:val="11"/>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收入决算表</w:t>
            </w:r>
          </w:p>
        </w:tc>
      </w:tr>
      <w:tr>
        <w:tblPrEx>
          <w:tblW w:w="5000" w:type="pct"/>
          <w:tblInd w:w="20" w:type="dxa"/>
          <w:tblLayout w:type="fixed"/>
          <w:tblCellMar>
            <w:top w:w="0" w:type="dxa"/>
            <w:left w:w="108" w:type="dxa"/>
            <w:bottom w:w="0" w:type="dxa"/>
            <w:right w:w="108" w:type="dxa"/>
          </w:tblCellMar>
        </w:tblPrEx>
        <w:trPr>
          <w:cantSplit/>
          <w:tblHeader/>
        </w:trPr>
        <w:tc>
          <w:tcPr>
            <w:tcW w:w="5290" w:type="dxa"/>
            <w:gridSpan w:val="2"/>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529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公开02表</w:t>
            </w:r>
          </w:p>
        </w:tc>
      </w:tr>
      <w:tr>
        <w:tblPrEx>
          <w:tblW w:w="5000" w:type="pct"/>
          <w:tblInd w:w="20" w:type="dxa"/>
          <w:tblLayout w:type="fixed"/>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编制单位：三明市三元区徐碧街道办事处</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财政拨款收入 </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上级补助收入</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事业收入</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经营收入</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附属单位上缴收入</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其他收入</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1399"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399"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399"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118"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118"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681"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40"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1448" w:type="dxa"/>
            <w:gridSpan w:val="3"/>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776"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399"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399"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399"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118"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118"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681"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40"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2,022.19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2,022.19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852.60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852.60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832.60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832.60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817.27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817.27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2010350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事业运行</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2019999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抚恤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2080801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死亡抚恤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350.37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350.37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污染防治</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347.45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347.45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其他污染防治支出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347.45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347.45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自然生态保护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2110402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农村环境保护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385.72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385.72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城乡社区环境卫生</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0.83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0.83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2120501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城乡社区环境卫生</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0.83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0.83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国有土地使用权出让收入安排的支出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2120801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征地和拆迁补偿支出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379.23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379.23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2129999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379.23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379.23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113.06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113.06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巩固脱贫攻坚成果衔接乡村振兴</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79.00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79.00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2130504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其他巩固脱贫攻坚成果衔接乡村振兴支出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农村综合改革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对村民委员会和村党支部的补助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公路水路运输</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公路养护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21599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2159999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自然资源事务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2200106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自然资源利用与保护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99.74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99.74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彩票公益金安排的支出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用于其他社会公益事业的彩票公益金支出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4578" w:type="dxa"/>
            <w:gridSpan w:val="11"/>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注：本表反映单位本年度取得的各项收入情况。</w:t>
            </w:r>
          </w:p>
        </w:tc>
      </w:tr>
    </w:tbl>
    <w:p>
      <w:pPr>
        <w:sectPr>
          <w:footerReference w:type="default" r:id="rId11"/>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240" w:after="100"/>
        <w:ind w:left="100" w:right="100" w:firstLine="0"/>
        <w:jc w:val="left"/>
        <w:rPr>
          <w:rFonts w:ascii="Times New Roman" w:eastAsia="Times New Roman" w:hAnsi="Times New Roman" w:cs="Times New Roman"/>
          <w:kern w:val="0"/>
          <w:sz w:val="24"/>
        </w:rPr>
      </w:pP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9" w:name="_Toc256000061"/>
      <w:r>
        <w:rPr>
          <w:rFonts w:ascii="SimHei" w:eastAsia="SimHei" w:hAnsi="SimHei" w:cs="SimHei"/>
          <w:b w:val="0"/>
          <w:bCs w:val="0"/>
          <w:spacing w:val="0"/>
        </w:rPr>
        <w:t>三、支出决算表</w:t>
      </w:r>
      <w:bookmarkEnd w:id="9"/>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gk03</w:t>
      </w:r>
    </w:p>
    <w:tbl>
      <w:tblPr>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tblPrEx>
          <w:tblW w:w="5000" w:type="pct"/>
          <w:tblInd w:w="20" w:type="dxa"/>
          <w:tblLayout w:type="fixed"/>
          <w:tblCellMar>
            <w:top w:w="0" w:type="dxa"/>
            <w:left w:w="108" w:type="dxa"/>
            <w:bottom w:w="0" w:type="dxa"/>
            <w:right w:w="108" w:type="dxa"/>
          </w:tblCellMar>
        </w:tblPrEx>
        <w:trPr>
          <w:cantSplit/>
          <w:tblHeader/>
        </w:trPr>
        <w:tc>
          <w:tcPr>
            <w:tcW w:w="14400" w:type="dxa"/>
            <w:gridSpan w:val="10"/>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支出决算表</w:t>
            </w:r>
          </w:p>
        </w:tc>
      </w:tr>
      <w:tr>
        <w:tblPrEx>
          <w:tblW w:w="5000" w:type="pct"/>
          <w:tblInd w:w="20" w:type="dxa"/>
          <w:tblLayout w:type="fixed"/>
          <w:tblCellMar>
            <w:top w:w="0" w:type="dxa"/>
            <w:left w:w="108" w:type="dxa"/>
            <w:bottom w:w="0" w:type="dxa"/>
            <w:right w:w="108" w:type="dxa"/>
          </w:tblCellMar>
        </w:tblPrEx>
        <w:trPr>
          <w:cantSplit/>
          <w:tblHeader/>
        </w:trPr>
        <w:tc>
          <w:tcPr>
            <w:tcW w:w="5290" w:type="dxa"/>
            <w:gridSpan w:val="4"/>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公开03表</w:t>
            </w:r>
          </w:p>
        </w:tc>
      </w:tr>
      <w:tr>
        <w:tblPrEx>
          <w:tblW w:w="5000" w:type="pct"/>
          <w:tblInd w:w="20" w:type="dxa"/>
          <w:tblLayout w:type="fixed"/>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编制单位：三明市三元区徐碧街道办事处</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上缴上级支出</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经营支出</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对附属单位补助支出</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1521"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12"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12"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521"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12"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987"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1589" w:type="dxa"/>
            <w:gridSpan w:val="3"/>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4146"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521"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12"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12"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521"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12"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98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2,022.19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1,255.96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766.23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852.60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832.60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832.60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832.60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817.27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817.27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2010350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事业运行</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2019999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抚恤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2080801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死亡抚恤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350.37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350.37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污染防治</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347.45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347.45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其他污染防治支出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347.45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347.45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自然生态保护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2110402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农村环境保护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385.72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379.23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6.50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城乡社区环境卫生</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0.83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0.83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2120501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城乡社区环境卫生</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0.83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0.83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国有土地使用权出让收入安排的支出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2120801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征地和拆迁补偿支出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379.23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379.23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2129999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379.23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379.23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113.06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109.46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巩固脱贫攻坚成果衔接乡村振兴</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79.00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79.00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2130504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其他巩固脱贫攻坚成果衔接乡村振兴支出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农村综合改革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30.46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对村民委员会和村党支部的补助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30.46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公路水路运输</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公路养护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21599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2159999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自然资源事务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2200106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自然资源利用与保护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99.74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99.74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彩票公益金安排的支出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用于其他社会公益事业的彩票公益金支出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4400" w:type="dxa"/>
            <w:gridSpan w:val="10"/>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注：本表反映单位本年度各项支出情况。</w:t>
            </w:r>
          </w:p>
        </w:tc>
      </w:tr>
    </w:tbl>
    <w:p>
      <w:pPr>
        <w:sectPr>
          <w:footerReference w:type="default" r:id="rId12"/>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240" w:after="100"/>
        <w:ind w:left="100" w:right="100" w:firstLine="0"/>
        <w:jc w:val="left"/>
        <w:rPr>
          <w:rFonts w:ascii="Times New Roman" w:eastAsia="Times New Roman" w:hAnsi="Times New Roman" w:cs="Times New Roman"/>
          <w:kern w:val="0"/>
          <w:sz w:val="24"/>
        </w:rPr>
      </w:pPr>
      <w:r>
        <w:rPr>
          <w:rFonts w:ascii="SimSun" w:eastAsia="SimSun" w:hAnsi="SimSun" w:cs="SimSun"/>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10" w:name="_Toc256000062"/>
      <w:r>
        <w:rPr>
          <w:rFonts w:ascii="SimHei" w:eastAsia="SimHei" w:hAnsi="SimHei" w:cs="SimHei"/>
          <w:b w:val="0"/>
          <w:bCs w:val="0"/>
          <w:spacing w:val="0"/>
        </w:rPr>
        <w:t>四、财政拨款收入支出决算总表</w:t>
      </w:r>
      <w:bookmarkEnd w:id="10"/>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2165"/>
        <w:gridCol w:w="2165"/>
        <w:gridCol w:w="2165"/>
        <w:gridCol w:w="2166"/>
        <w:gridCol w:w="2166"/>
        <w:gridCol w:w="2166"/>
        <w:gridCol w:w="2166"/>
      </w:tblGrid>
      <w:tr>
        <w:tblPrEx>
          <w:tblW w:w="5000" w:type="pct"/>
          <w:tblInd w:w="20" w:type="dxa"/>
          <w:tblLayout w:type="fixed"/>
          <w:tblCellMar>
            <w:top w:w="0" w:type="dxa"/>
            <w:left w:w="108" w:type="dxa"/>
            <w:bottom w:w="0" w:type="dxa"/>
            <w:right w:w="108" w:type="dxa"/>
          </w:tblCellMar>
        </w:tblPrEx>
        <w:trPr>
          <w:cantSplit/>
          <w:tblHeader/>
        </w:trPr>
        <w:tc>
          <w:tcPr>
            <w:tcW w:w="16381" w:type="dxa"/>
            <w:gridSpan w:val="7"/>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财政拨款收入支出决算总表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公开04表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编制单位：三明市三元区徐碧街道办事处</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收入</w:t>
            </w:r>
          </w:p>
        </w:tc>
        <w:tc>
          <w:tcPr>
            <w:tcW w:w="21600" w:type="dxa"/>
            <w:gridSpan w:val="5"/>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项目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项目（按功能分类）</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国有资本经营预算财政拨款</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一、一般公共预算财政拨款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1,916.92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852.60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852.60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105.26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二、外交支出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三、国防支出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六、科学技术支出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九、卫生健康支出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350.37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350.37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十一、城乡社区支出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385.72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380.05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十二、农林水支出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113.06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113.06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十三、交通运输支出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十四、资源勘探工业信息等支出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十五、商业服务业等支出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十六、金融支出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十七、援助其他地区支出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十八、自然资源海洋气象等支出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十九、住房保障支出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二十、粮油物资储备支出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二十一、国有资本经营预算支出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二十二、灾害防治及应急管理支出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二十三、其他支出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99.74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二十四、债务还本支出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二十五、债务付息支出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二十六、抗疫特别国债安排的支出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2,022.19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2,022.19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1,916.92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105.26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年初财政拨款结转和结余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年末财政拨款结转和结余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总计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2,022.19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总计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2,022.19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1,916.92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105.26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6381" w:type="dxa"/>
            <w:gridSpan w:val="7"/>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注：1.本表反映单位本年度一般公共预算财政拨款、政府性基金预算财政拨款和国有资本经营预算财政拨款的总收支和结转结余情况。</w:t>
            </w:r>
          </w:p>
        </w:tc>
      </w:tr>
      <w:tr>
        <w:tblPrEx>
          <w:tblW w:w="5000" w:type="pct"/>
          <w:tblInd w:w="20" w:type="dxa"/>
          <w:tblLayout w:type="fixed"/>
          <w:tblCellMar>
            <w:top w:w="0" w:type="dxa"/>
            <w:left w:w="108" w:type="dxa"/>
            <w:bottom w:w="0" w:type="dxa"/>
            <w:right w:w="108" w:type="dxa"/>
          </w:tblCellMar>
        </w:tblPrEx>
        <w:trPr>
          <w:cantSplit/>
        </w:trPr>
        <w:tc>
          <w:tcPr>
            <w:tcW w:w="16381" w:type="dxa"/>
            <w:gridSpan w:val="7"/>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3"/>
          <w:type w:val="nextPage"/>
          <w:pgSz w:w="16383" w:h="11906" w:orient="landscape"/>
          <w:pgMar w:top="1134" w:right="720" w:bottom="1134" w:left="720" w:header="720" w:footer="720"/>
          <w:cols w:space="720"/>
        </w:sectPr>
      </w:pPr>
    </w:p>
    <w:p>
      <w:pPr>
        <w:rPr>
          <w:rFonts w:ascii="Times New Roman" w:eastAsia="Times New Roman" w:hAnsi="Times New Roman" w:cs="Times New Roman"/>
          <w:vanish/>
          <w:kern w:val="0"/>
          <w:sz w:val="24"/>
        </w:rPr>
      </w:pPr>
      <w:r>
        <w:rPr>
          <w:rFonts w:ascii="Times New Roman" w:eastAsia="Times New Roman" w:hAnsi="Times New Roman" w:cs="Times New Roman"/>
          <w:kern w:val="0"/>
          <w:sz w:val="24"/>
        </w:rPr>
        <w:t> </w:t>
      </w:r>
    </w:p>
    <w:p>
      <w:pPr>
        <w:pStyle w:val="p"/>
        <w:widowControl/>
        <w:spacing w:before="240" w:after="100"/>
        <w:ind w:left="100" w:right="100" w:firstLine="0"/>
        <w:jc w:val="left"/>
        <w:rPr>
          <w:rFonts w:ascii="Times New Roman" w:eastAsia="Times New Roman" w:hAnsi="Times New Roman" w:cs="Times New Roman"/>
          <w:kern w:val="0"/>
          <w:sz w:val="24"/>
        </w:rPr>
      </w:pPr>
      <w:r>
        <w:rPr>
          <w:rFonts w:ascii="SimSun" w:eastAsia="SimSun" w:hAnsi="SimSun" w:cs="SimSun"/>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11" w:name="_Toc256000063"/>
      <w:r>
        <w:rPr>
          <w:rFonts w:ascii="SimHei" w:eastAsia="SimHei" w:hAnsi="SimHei" w:cs="SimHei"/>
          <w:b w:val="0"/>
          <w:bCs w:val="0"/>
          <w:spacing w:val="0"/>
        </w:rPr>
        <w:t>五、一般公共预算财政拨款支出决算表</w:t>
      </w:r>
      <w:bookmarkEnd w:id="11"/>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gk05</w:t>
      </w:r>
    </w:p>
    <w:tbl>
      <w:tblPr>
        <w:tblW w:w="5000" w:type="pct"/>
        <w:tblInd w:w="20" w:type="dxa"/>
        <w:tblLayout w:type="fixed"/>
        <w:tblCellMar>
          <w:top w:w="0" w:type="dxa"/>
          <w:left w:w="108" w:type="dxa"/>
          <w:bottom w:w="0" w:type="dxa"/>
          <w:right w:w="108" w:type="dxa"/>
        </w:tblCellMar>
      </w:tblPr>
      <w:tblGrid>
        <w:gridCol w:w="1740"/>
        <w:gridCol w:w="3354"/>
        <w:gridCol w:w="3355"/>
        <w:gridCol w:w="3355"/>
        <w:gridCol w:w="3355"/>
      </w:tblGrid>
      <w:tr>
        <w:tblPrEx>
          <w:tblW w:w="5000" w:type="pct"/>
          <w:tblInd w:w="20" w:type="dxa"/>
          <w:tblLayout w:type="fixed"/>
          <w:tblCellMar>
            <w:top w:w="0" w:type="dxa"/>
            <w:left w:w="108" w:type="dxa"/>
            <w:bottom w:w="0" w:type="dxa"/>
            <w:right w:w="108" w:type="dxa"/>
          </w:tblCellMar>
        </w:tblPrEx>
        <w:trPr>
          <w:cantSplit/>
          <w:tblHeader/>
        </w:trPr>
        <w:tc>
          <w:tcPr>
            <w:tcW w:w="16380" w:type="dxa"/>
            <w:gridSpan w:val="5"/>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一般公共预算财政拨款支出决算表</w:t>
            </w:r>
          </w:p>
        </w:tc>
      </w:tr>
      <w:tr>
        <w:tblPrEx>
          <w:tblW w:w="5000" w:type="pct"/>
          <w:tblInd w:w="20" w:type="dxa"/>
          <w:tblLayout w:type="fixed"/>
          <w:tblCellMar>
            <w:top w:w="0" w:type="dxa"/>
            <w:left w:w="108" w:type="dxa"/>
            <w:bottom w:w="0" w:type="dxa"/>
            <w:right w:w="108" w:type="dxa"/>
          </w:tblCellMar>
        </w:tblPrEx>
        <w:trPr>
          <w:cantSplit/>
          <w:tblHeader/>
        </w:trPr>
        <w:tc>
          <w:tcPr>
            <w:tcW w:w="10540" w:type="dxa"/>
            <w:gridSpan w:val="2"/>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公开05表</w:t>
            </w:r>
          </w:p>
        </w:tc>
      </w:tr>
      <w:tr>
        <w:tblPrEx>
          <w:tblW w:w="5000" w:type="pct"/>
          <w:tblInd w:w="20" w:type="dxa"/>
          <w:tblLayout w:type="fixed"/>
          <w:tblCellMar>
            <w:top w:w="0" w:type="dxa"/>
            <w:left w:w="108" w:type="dxa"/>
            <w:bottom w:w="0" w:type="dxa"/>
            <w:right w:w="108" w:type="dxa"/>
          </w:tblCellMar>
        </w:tblPrEx>
        <w:trPr>
          <w:cantSplit/>
          <w:tblHeader/>
        </w:trPr>
        <w:tc>
          <w:tcPr>
            <w:tcW w:w="10540" w:type="dxa"/>
            <w:gridSpan w:val="3"/>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编制单位：三明市三元区徐碧街道办事处</w:t>
            </w:r>
          </w:p>
        </w:tc>
        <w:tc>
          <w:tcPr>
            <w:tcW w:w="21600" w:type="dxa"/>
            <w:gridSpan w:val="2"/>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10545"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r>
      <w:tr>
        <w:tblPrEx>
          <w:tblW w:w="5000" w:type="pct"/>
          <w:tblInd w:w="20" w:type="dxa"/>
          <w:tblLayout w:type="fixed"/>
          <w:tblCellMar>
            <w:top w:w="0" w:type="dxa"/>
            <w:left w:w="108" w:type="dxa"/>
            <w:bottom w:w="0" w:type="dxa"/>
            <w:right w:w="108" w:type="dxa"/>
          </w:tblCellMar>
        </w:tblPrEx>
        <w:trPr>
          <w:cantSplit/>
          <w:tblHeader/>
        </w:trPr>
        <w:tc>
          <w:tcPr>
            <w:tcW w:w="10545"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功能分类科目编码</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小计</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r>
      <w:tr>
        <w:tblPrEx>
          <w:tblW w:w="5000" w:type="pct"/>
          <w:tblInd w:w="20" w:type="dxa"/>
          <w:tblLayout w:type="fixed"/>
          <w:tblCellMar>
            <w:top w:w="0" w:type="dxa"/>
            <w:left w:w="108" w:type="dxa"/>
            <w:bottom w:w="0" w:type="dxa"/>
            <w:right w:w="108" w:type="dxa"/>
          </w:tblCellMar>
        </w:tblPrEx>
        <w:trPr>
          <w:cantSplit/>
          <w:tblHeader/>
        </w:trPr>
        <w:tc>
          <w:tcPr>
            <w:tcW w:w="3375"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5856"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383"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383"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383"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10545"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1,916.92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1,255.96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660.96</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852.60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832.60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832.60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832.60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817.27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817.27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2010350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事业运行</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2019999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抚恤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2080801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死亡抚恤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350.37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350.37</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污染防治</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347.45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347.45</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其他污染防治支出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347.45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347.45</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自然生态保护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2.92</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2110402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农村环境保护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2.92</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380.05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379.23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0.83</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城乡社区环境卫生</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0.83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0.83</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2120501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城乡社区环境卫生</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0.83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0.83</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379.23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379.23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2129999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379.23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379.23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113.06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109.46</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巩固脱贫攻坚成果衔接乡村振兴</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79.00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79.00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2130504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其他巩固脱贫攻坚成果衔接乡村振兴支出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农村综合改革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30.46</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对村民委员会和村党支部的补助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30.46</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公路水路运输</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公路养护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55.33</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21599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2159999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自然资源事务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2200106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自然资源利用与保护</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106.68</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0.15</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0.15</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0.15</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5"/>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注：1.本表反映单位本年度一般公共预算财政拨款支出情况。</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5"/>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4"/>
          <w:type w:val="nextPage"/>
          <w:pgSz w:w="16383" w:h="11906" w:orient="landscape"/>
          <w:pgMar w:top="1134" w:right="720" w:bottom="1134" w:left="720" w:header="720" w:footer="720"/>
          <w:cols w:space="720"/>
        </w:sectPr>
      </w:pPr>
    </w:p>
    <w:p>
      <w:pPr>
        <w:rPr>
          <w:rFonts w:ascii="Times New Roman" w:eastAsia="Times New Roman" w:hAnsi="Times New Roman" w:cs="Times New Roman"/>
          <w:vanish/>
          <w:kern w:val="0"/>
          <w:sz w:val="24"/>
        </w:rPr>
      </w:pPr>
      <w:r>
        <w:rPr>
          <w:rFonts w:ascii="Times New Roman" w:eastAsia="Times New Roman" w:hAnsi="Times New Roman" w:cs="Times New Roman"/>
          <w:kern w:val="0"/>
          <w:sz w:val="24"/>
        </w:rPr>
        <w:t> </w:t>
      </w:r>
    </w:p>
    <w:p>
      <w:pPr>
        <w:pStyle w:val="p"/>
        <w:widowControl/>
        <w:spacing w:before="240" w:after="100"/>
        <w:ind w:left="100" w:right="100" w:firstLine="0"/>
        <w:jc w:val="left"/>
        <w:rPr>
          <w:rFonts w:ascii="Times New Roman" w:eastAsia="Times New Roman" w:hAnsi="Times New Roman" w:cs="Times New Roman"/>
          <w:kern w:val="0"/>
          <w:sz w:val="24"/>
        </w:rPr>
      </w:pPr>
      <w:r>
        <w:rPr>
          <w:rFonts w:ascii="SimSun" w:eastAsia="SimSun" w:hAnsi="SimSun" w:cs="SimSun"/>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12" w:name="_Toc256000064"/>
      <w:r>
        <w:rPr>
          <w:rFonts w:ascii="SimHei" w:eastAsia="SimHei" w:hAnsi="SimHei" w:cs="SimHei"/>
          <w:b w:val="0"/>
          <w:bCs w:val="0"/>
          <w:spacing w:val="0"/>
        </w:rPr>
        <w:t>六、一般公共预算财政拨款基本支出决算表</w:t>
      </w:r>
      <w:bookmarkEnd w:id="12"/>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1685"/>
        <w:gridCol w:w="1685"/>
        <w:gridCol w:w="1685"/>
        <w:gridCol w:w="1684"/>
        <w:gridCol w:w="1684"/>
        <w:gridCol w:w="1684"/>
        <w:gridCol w:w="1684"/>
        <w:gridCol w:w="1684"/>
        <w:gridCol w:w="1684"/>
      </w:tblGrid>
      <w:tr>
        <w:tblPrEx>
          <w:tblW w:w="5000" w:type="pct"/>
          <w:tblInd w:w="20" w:type="dxa"/>
          <w:tblLayout w:type="fixed"/>
          <w:tblCellMar>
            <w:top w:w="0" w:type="dxa"/>
            <w:left w:w="108" w:type="dxa"/>
            <w:bottom w:w="0" w:type="dxa"/>
            <w:right w:w="108" w:type="dxa"/>
          </w:tblCellMar>
        </w:tblPrEx>
        <w:trPr>
          <w:cantSplit/>
          <w:tblHeader/>
        </w:trPr>
        <w:tc>
          <w:tcPr>
            <w:tcW w:w="16377" w:type="dxa"/>
            <w:gridSpan w:val="9"/>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一般公共预算财政拨款基本支出决算表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公开06表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6"/>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编制单位：三明市三元区徐碧街道办事处</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r>
      <w:tr>
        <w:tblPrEx>
          <w:tblW w:w="5000" w:type="pct"/>
          <w:tblInd w:w="20" w:type="dxa"/>
          <w:tblLayout w:type="fixed"/>
          <w:tblCellMar>
            <w:top w:w="0" w:type="dxa"/>
            <w:left w:w="108" w:type="dxa"/>
            <w:bottom w:w="0" w:type="dxa"/>
            <w:right w:w="108" w:type="dxa"/>
          </w:tblCellMar>
        </w:tblPrEx>
        <w:trPr>
          <w:cantSplit/>
          <w:tblHeader/>
        </w:trPr>
        <w:tc>
          <w:tcPr>
            <w:tcW w:w="1789"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555"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152"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789"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91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125"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789"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065"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196"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工资福利支出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640.60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商品和服务支出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46.34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资本性支出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基本工资</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303.56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办公费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33.52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房屋建筑物购建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津贴补贴</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53.81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印刷费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办公设备购置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奖金</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68.51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手续费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专用设备购置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伙食补助费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绩效工资</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35.92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电费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大型修缮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机关事业单位基本养老保险缴费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26.84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邮电费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0.36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信息网络及软件购置更新</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职业年金缴费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6.54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取暖费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物资储备</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职工基本医疗保险缴费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14.11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物业管理费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土地补偿</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公务员医疗补助缴费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差旅费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安置补助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其他社会保障缴费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69.67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因公出国（境）费用</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地上附着物和青苗补偿</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住房公积金</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42.44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维修（护）费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拆迁补偿</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医疗费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租赁费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公务用车购置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其他工资福利支出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19.20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会议费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其他交通工具购置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对个人和家庭的补助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42.12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培训费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31021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文物和陈列品购置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离休费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公务接待费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31022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无形资产购置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退休费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专用材料费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其他资本性支出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退职（役）费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被装购置费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对企业补助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抚恤金</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40.53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专用燃料费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资本金注入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生活补助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劳务费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政府投资基金股权投资</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救济费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委托业务费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费用补贴</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医疗费补助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工会经费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利息补贴</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助学金</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福利费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其他资本性补助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奖励金</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30231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公务用车运行维护费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其他对企业补助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30310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个人农业生产补贴</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30239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其他交通费用</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10.91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526.89</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30311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代缴社会保险费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30240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税金及附加费用</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国家赔偿费用支出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其他对个人和家庭的补助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其他商品和服务支出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对民间非营利组织和群众性自治组织补贴</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526.89</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债务利息及费用支出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经常性赠与</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国内债务付息</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39910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资本性赠与</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国外债务付息</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国内债务发行费用</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国外债务发行费用</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人员经费合计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682.72</w:t>
            </w:r>
          </w:p>
        </w:tc>
        <w:tc>
          <w:tcPr>
            <w:tcW w:w="21600" w:type="dxa"/>
            <w:gridSpan w:val="5"/>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公用经费合计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573.23</w:t>
            </w:r>
          </w:p>
        </w:tc>
      </w:tr>
      <w:tr>
        <w:tblPrEx>
          <w:tblW w:w="5000" w:type="pct"/>
          <w:tblInd w:w="20" w:type="dxa"/>
          <w:tblLayout w:type="fixed"/>
          <w:tblCellMar>
            <w:top w:w="0" w:type="dxa"/>
            <w:left w:w="108" w:type="dxa"/>
            <w:bottom w:w="0" w:type="dxa"/>
            <w:right w:w="108" w:type="dxa"/>
          </w:tblCellMar>
        </w:tblPrEx>
        <w:trPr>
          <w:cantSplit/>
        </w:trPr>
        <w:tc>
          <w:tcPr>
            <w:tcW w:w="16377" w:type="dxa"/>
            <w:gridSpan w:val="9"/>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注：1.本表反映单位本年度一般公共预算财政拨款基本支出明细情况。</w:t>
            </w:r>
          </w:p>
        </w:tc>
      </w:tr>
      <w:tr>
        <w:tblPrEx>
          <w:tblW w:w="5000" w:type="pct"/>
          <w:tblInd w:w="20" w:type="dxa"/>
          <w:tblLayout w:type="fixed"/>
          <w:tblCellMar>
            <w:top w:w="0" w:type="dxa"/>
            <w:left w:w="108" w:type="dxa"/>
            <w:bottom w:w="0" w:type="dxa"/>
            <w:right w:w="108" w:type="dxa"/>
          </w:tblCellMar>
        </w:tblPrEx>
        <w:trPr>
          <w:cantSplit/>
        </w:trPr>
        <w:tc>
          <w:tcPr>
            <w:tcW w:w="16377" w:type="dxa"/>
            <w:gridSpan w:val="9"/>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5"/>
          <w:type w:val="nextPage"/>
          <w:pgSz w:w="16383" w:h="11906" w:orient="landscape"/>
          <w:pgMar w:top="1134" w:right="720" w:bottom="1134" w:left="720" w:header="720" w:footer="720"/>
          <w:cols w:space="720"/>
        </w:sectPr>
      </w:pPr>
    </w:p>
    <w:p>
      <w:pPr>
        <w:rPr>
          <w:rFonts w:ascii="Times New Roman" w:eastAsia="Times New Roman" w:hAnsi="Times New Roman" w:cs="Times New Roman"/>
          <w:vanish/>
          <w:kern w:val="0"/>
          <w:sz w:val="24"/>
        </w:rPr>
      </w:pPr>
      <w:r>
        <w:rPr>
          <w:rFonts w:ascii="Times New Roman" w:eastAsia="Times New Roman" w:hAnsi="Times New Roman" w:cs="Times New Roman"/>
          <w:kern w:val="0"/>
          <w:sz w:val="24"/>
        </w:rPr>
        <w:t> </w:t>
      </w:r>
    </w:p>
    <w:p>
      <w:pPr>
        <w:pStyle w:val="p"/>
        <w:widowControl/>
        <w:spacing w:before="240" w:after="100"/>
        <w:ind w:left="100" w:right="100" w:firstLine="0"/>
        <w:jc w:val="left"/>
        <w:rPr>
          <w:rFonts w:ascii="Times New Roman" w:eastAsia="Times New Roman" w:hAnsi="Times New Roman" w:cs="Times New Roman"/>
          <w:kern w:val="0"/>
          <w:sz w:val="24"/>
        </w:rPr>
      </w:pPr>
      <w:r>
        <w:rPr>
          <w:rFonts w:ascii="SimSun" w:eastAsia="SimSun" w:hAnsi="SimSun" w:cs="SimSun"/>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13" w:name="_Toc256000065"/>
      <w:r>
        <w:rPr>
          <w:rFonts w:ascii="SimHei" w:eastAsia="SimHei" w:hAnsi="SimHei" w:cs="SimHei"/>
          <w:b w:val="0"/>
          <w:bCs w:val="0"/>
          <w:spacing w:val="0"/>
        </w:rPr>
        <w:t>七、一般公共预算财政拨款“三公”经费支出决算表</w:t>
      </w:r>
      <w:bookmarkEnd w:id="13"/>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5053"/>
        <w:gridCol w:w="5053"/>
        <w:gridCol w:w="5053"/>
      </w:tblGrid>
      <w:tr>
        <w:tblPrEx>
          <w:tblW w:w="5000" w:type="pct"/>
          <w:tblInd w:w="20" w:type="dxa"/>
          <w:tblLayout w:type="fixed"/>
          <w:tblCellMar>
            <w:top w:w="0" w:type="dxa"/>
            <w:left w:w="108" w:type="dxa"/>
            <w:bottom w:w="0" w:type="dxa"/>
            <w:right w:w="108" w:type="dxa"/>
          </w:tblCellMar>
        </w:tblPrEx>
        <w:trPr>
          <w:cantSplit/>
          <w:tblHeader/>
        </w:trPr>
        <w:tc>
          <w:tcPr>
            <w:tcW w:w="16383" w:type="dxa"/>
            <w:gridSpan w:val="3"/>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一般公共预算财政拨款“三公”经费支出决算表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公开07表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编制单位：三明市三元区徐碧街道办事处</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1.27</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 因公出国（境）费用</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 公务用车购置及运行维护费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1.27</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其中：（1）公务用车购置费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（2）公务用车运行维护费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1.27</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 公务接待费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6383" w:type="dxa"/>
            <w:gridSpan w:val="3"/>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注：1.本表反映单位本年度“三公”经费支出决算情况，包括当年一般公共预算财政拨款和以前年度结转资金安排的实际支出。</w:t>
            </w:r>
          </w:p>
        </w:tc>
      </w:tr>
      <w:tr>
        <w:tblPrEx>
          <w:tblW w:w="5000" w:type="pct"/>
          <w:tblInd w:w="20" w:type="dxa"/>
          <w:tblLayout w:type="fixed"/>
          <w:tblCellMar>
            <w:top w:w="0" w:type="dxa"/>
            <w:left w:w="108" w:type="dxa"/>
            <w:bottom w:w="0" w:type="dxa"/>
            <w:right w:w="108" w:type="dxa"/>
          </w:tblCellMar>
        </w:tblPrEx>
        <w:trPr>
          <w:cantSplit/>
        </w:trPr>
        <w:tc>
          <w:tcPr>
            <w:tcW w:w="16383" w:type="dxa"/>
            <w:gridSpan w:val="3"/>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rPr>
        <w:tc>
          <w:tcPr>
            <w:tcW w:w="16383" w:type="dxa"/>
            <w:gridSpan w:val="3"/>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6"/>
          <w:type w:val="nextPage"/>
          <w:pgSz w:w="16383" w:h="11906" w:orient="landscape"/>
          <w:pgMar w:top="1134" w:right="720" w:bottom="1134" w:left="720" w:header="720" w:footer="720"/>
          <w:cols w:space="720"/>
        </w:sectPr>
      </w:pPr>
    </w:p>
    <w:p>
      <w:pPr>
        <w:rPr>
          <w:rFonts w:ascii="Times New Roman" w:eastAsia="Times New Roman" w:hAnsi="Times New Roman" w:cs="Times New Roman"/>
          <w:vanish/>
          <w:kern w:val="0"/>
          <w:sz w:val="24"/>
        </w:rPr>
      </w:pPr>
      <w:r>
        <w:rPr>
          <w:rFonts w:ascii="Times New Roman" w:eastAsia="Times New Roman" w:hAnsi="Times New Roman" w:cs="Times New Roman"/>
          <w:kern w:val="0"/>
          <w:sz w:val="24"/>
        </w:rPr>
        <w:t> </w:t>
      </w:r>
    </w:p>
    <w:p>
      <w:pPr>
        <w:pStyle w:val="MsoNormal"/>
        <w:widowControl/>
        <w:spacing w:before="240" w:after="100"/>
        <w:ind w:left="100" w:right="100" w:firstLine="0"/>
        <w:jc w:val="left"/>
        <w:rPr>
          <w:rFonts w:ascii="Times New Roman" w:eastAsia="Times New Roman" w:hAnsi="Times New Roman" w:cs="Times New Roman"/>
          <w:kern w:val="0"/>
          <w:sz w:val="24"/>
        </w:rPr>
      </w:pPr>
      <w:r>
        <w:rPr>
          <w:rFonts w:ascii="SimSun" w:eastAsia="SimSun" w:hAnsi="SimSun" w:cs="SimSun"/>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14" w:name="_Toc256000066"/>
      <w:r>
        <w:rPr>
          <w:rFonts w:ascii="SimHei" w:eastAsia="SimHei" w:hAnsi="SimHei" w:cs="SimHei"/>
          <w:b w:val="0"/>
          <w:bCs w:val="0"/>
          <w:spacing w:val="0"/>
        </w:rPr>
        <w:t>八、政府性基金预算财政拨款收入支出决算表</w:t>
      </w:r>
      <w:bookmarkEnd w:id="14"/>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gk08</w:t>
      </w:r>
    </w:p>
    <w:tbl>
      <w:tblPr>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tblPrEx>
          <w:tblW w:w="5000" w:type="pct"/>
          <w:tblInd w:w="20" w:type="dxa"/>
          <w:tblLayout w:type="fixed"/>
          <w:tblCellMar>
            <w:top w:w="0" w:type="dxa"/>
            <w:left w:w="108" w:type="dxa"/>
            <w:bottom w:w="0" w:type="dxa"/>
            <w:right w:w="108" w:type="dxa"/>
          </w:tblCellMar>
        </w:tblPrEx>
        <w:trPr>
          <w:cantSplit/>
          <w:tblHeader/>
        </w:trPr>
        <w:tc>
          <w:tcPr>
            <w:tcW w:w="14400" w:type="dxa"/>
            <w:gridSpan w:val="10"/>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政府性基金预算财政拨款收入支出决算表</w:t>
            </w:r>
          </w:p>
        </w:tc>
      </w:tr>
      <w:tr>
        <w:tblPrEx>
          <w:tblW w:w="5000" w:type="pct"/>
          <w:tblInd w:w="20" w:type="dxa"/>
          <w:tblLayout w:type="fixed"/>
          <w:tblCellMar>
            <w:top w:w="0" w:type="dxa"/>
            <w:left w:w="108" w:type="dxa"/>
            <w:bottom w:w="0" w:type="dxa"/>
            <w:right w:w="108" w:type="dxa"/>
          </w:tblCellMar>
        </w:tblPrEx>
        <w:trPr>
          <w:cantSplit/>
          <w:tblHeader/>
        </w:trPr>
        <w:tc>
          <w:tcPr>
            <w:tcW w:w="5290" w:type="dxa"/>
            <w:gridSpan w:val="2"/>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529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公开08表</w:t>
            </w:r>
          </w:p>
        </w:tc>
      </w:tr>
      <w:tr>
        <w:tblPrEx>
          <w:tblW w:w="5000" w:type="pct"/>
          <w:tblInd w:w="20" w:type="dxa"/>
          <w:tblLayout w:type="fixed"/>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编制单位：三明市三元区徐碧街道办事处</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年初结转和结余 </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年末结转和结余</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1752"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57"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小计</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基本支出 </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c>
          <w:tcPr>
            <w:tcW w:w="1753"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1695" w:type="dxa"/>
            <w:gridSpan w:val="3"/>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433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752"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5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092"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5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5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753"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栏次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w:t>
            </w:r>
          </w:p>
        </w:tc>
      </w:tr>
      <w:tr>
        <w:tblPrEx>
          <w:tblW w:w="5000" w:type="pct"/>
          <w:tblInd w:w="20" w:type="dxa"/>
          <w:tblLayout w:type="fixed"/>
          <w:tblCellMar>
            <w:top w:w="0" w:type="dxa"/>
            <w:left w:w="108" w:type="dxa"/>
            <w:bottom w:w="0" w:type="dxa"/>
            <w:right w:w="108" w:type="dxa"/>
          </w:tblCellMar>
        </w:tblPrEx>
        <w:trPr>
          <w:cantSplit/>
        </w:trPr>
        <w:tc>
          <w:tcPr>
            <w:tcW w:w="565"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565"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565"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105.26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105.26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105.26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国有土地使用权出让收入安排的支出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2120801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征地和拆迁补偿支出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彩票公益金安排的支出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用于其他社会公益事业的彩票公益金支出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99.59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4400" w:type="dxa"/>
            <w:gridSpan w:val="10"/>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 本表反映单位本年度政府性基金预算财政拨款收入、支出及结转和结余情况。</w:t>
            </w:r>
          </w:p>
        </w:tc>
      </w:tr>
      <w:tr>
        <w:tblPrEx>
          <w:tblW w:w="5000" w:type="pct"/>
          <w:tblInd w:w="20" w:type="dxa"/>
          <w:tblLayout w:type="fixed"/>
          <w:tblCellMar>
            <w:top w:w="0" w:type="dxa"/>
            <w:left w:w="108" w:type="dxa"/>
            <w:bottom w:w="0" w:type="dxa"/>
            <w:right w:w="108" w:type="dxa"/>
          </w:tblCellMar>
        </w:tblPrEx>
        <w:trPr>
          <w:cantSplit/>
        </w:trPr>
        <w:tc>
          <w:tcPr>
            <w:tcW w:w="14400" w:type="dxa"/>
            <w:gridSpan w:val="10"/>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7"/>
          <w:type w:val="nextPage"/>
          <w:pgSz w:w="16383" w:h="11906" w:orient="landscape"/>
          <w:pgMar w:top="1134" w:right="720" w:bottom="1134" w:left="720" w:header="720" w:footer="720"/>
          <w:cols w:space="720"/>
        </w:sectPr>
      </w:pPr>
    </w:p>
    <w:p>
      <w:pPr>
        <w:rPr>
          <w:rFonts w:ascii="Times New Roman" w:eastAsia="Times New Roman" w:hAnsi="Times New Roman" w:cs="Times New Roman"/>
          <w:vanish/>
          <w:kern w:val="0"/>
          <w:sz w:val="24"/>
        </w:rPr>
      </w:pPr>
      <w:r>
        <w:rPr>
          <w:rFonts w:ascii="Times New Roman" w:eastAsia="Times New Roman" w:hAnsi="Times New Roman" w:cs="Times New Roman"/>
          <w:kern w:val="0"/>
          <w:sz w:val="24"/>
        </w:rPr>
        <w:t> </w:t>
      </w:r>
    </w:p>
    <w:p>
      <w:pPr>
        <w:pStyle w:val="MsoNormal"/>
        <w:widowControl/>
        <w:spacing w:before="240" w:after="240"/>
        <w:jc w:val="left"/>
        <w:rPr>
          <w:rFonts w:ascii="Times New Roman" w:eastAsia="Times New Roman" w:hAnsi="Times New Roman" w:cs="Times New Roman"/>
          <w:kern w:val="0"/>
          <w:sz w:val="24"/>
        </w:rPr>
      </w:pPr>
      <w:r>
        <w:rPr>
          <w:rFonts w:ascii="SimSun" w:eastAsia="SimSun" w:hAnsi="SimSun" w:cs="SimSun"/>
          <w:spacing w:val="0"/>
          <w:kern w:val="0"/>
          <w:sz w:val="24"/>
        </w:rPr>
        <w:t> </w:t>
      </w:r>
      <w:r>
        <w:rPr>
          <w:rFonts w:ascii="SimSun" w:eastAsia="SimSun" w:hAnsi="SimSun" w:cs="SimSun"/>
          <w:kern w:val="0"/>
          <w:sz w:val="24"/>
        </w:rPr>
        <w:t> </w:t>
      </w:r>
      <w:r>
        <w:rPr>
          <w:rFonts w:ascii="SimSun" w:eastAsia="SimSun" w:hAnsi="SimSun" w:cs="SimSun"/>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15" w:name="_Toc256000067"/>
      <w:r>
        <w:rPr>
          <w:rFonts w:ascii="SimHei" w:eastAsia="SimHei" w:hAnsi="SimHei" w:cs="SimHei"/>
          <w:b w:val="0"/>
          <w:bCs w:val="0"/>
          <w:spacing w:val="0"/>
        </w:rPr>
        <w:t>九、国有资本经营预算财政拨款支出决算表</w:t>
      </w:r>
      <w:bookmarkEnd w:id="15"/>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gk09</w:t>
      </w:r>
    </w:p>
    <w:tbl>
      <w:tblPr>
        <w:tblW w:w="5000" w:type="pct"/>
        <w:tblInd w:w="20" w:type="dxa"/>
        <w:tblLayout w:type="fixed"/>
        <w:tblCellMar>
          <w:top w:w="0" w:type="dxa"/>
          <w:left w:w="108" w:type="dxa"/>
          <w:bottom w:w="0" w:type="dxa"/>
          <w:right w:w="108" w:type="dxa"/>
        </w:tblCellMar>
      </w:tblPr>
      <w:tblGrid>
        <w:gridCol w:w="3031"/>
        <w:gridCol w:w="3032"/>
        <w:gridCol w:w="3032"/>
        <w:gridCol w:w="3032"/>
        <w:gridCol w:w="3032"/>
      </w:tblGrid>
      <w:tr>
        <w:tblPrEx>
          <w:tblW w:w="5000" w:type="pct"/>
          <w:tblInd w:w="20" w:type="dxa"/>
          <w:tblLayout w:type="fixed"/>
          <w:tblCellMar>
            <w:top w:w="0" w:type="dxa"/>
            <w:left w:w="108" w:type="dxa"/>
            <w:bottom w:w="0" w:type="dxa"/>
            <w:right w:w="108" w:type="dxa"/>
          </w:tblCellMar>
        </w:tblPrEx>
        <w:trPr>
          <w:cantSplit/>
          <w:tblHeader/>
        </w:trPr>
        <w:tc>
          <w:tcPr>
            <w:tcW w:w="16380" w:type="dxa"/>
            <w:gridSpan w:val="5"/>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国有资本经营预算财政拨款支出决算表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公开09表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编制单位：三明市三元区徐碧街道办事处</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 目</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功能分类科目编码</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r>
      <w:tr>
        <w:tblPrEx>
          <w:tblW w:w="5000" w:type="pct"/>
          <w:tblInd w:w="20" w:type="dxa"/>
          <w:tblLayout w:type="fixed"/>
          <w:tblCellMar>
            <w:top w:w="0" w:type="dxa"/>
            <w:left w:w="108" w:type="dxa"/>
            <w:bottom w:w="0" w:type="dxa"/>
            <w:right w:w="108" w:type="dxa"/>
          </w:tblCellMar>
        </w:tblPrEx>
        <w:trPr>
          <w:cantSplit/>
          <w:tblHeader/>
        </w:trPr>
        <w:tc>
          <w:tcPr>
            <w:tcW w:w="3712"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67"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67"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67"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67"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3712"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6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6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6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6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栏次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5"/>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rPr>
        <w:tc>
          <w:tcPr>
            <w:tcW w:w="16380" w:type="dxa"/>
            <w:gridSpan w:val="5"/>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注：本单位2025年度没有使用国有资本经营预算财政拨款安排的支出。</w:t>
            </w:r>
          </w:p>
        </w:tc>
      </w:tr>
    </w:tbl>
    <w:p>
      <w:pPr>
        <w:sectPr>
          <w:footerReference w:type="default" r:id="rId18"/>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MsoNormal"/>
        <w:widowControl/>
        <w:spacing w:before="240" w:after="100" w:line="560" w:lineRule="atLeast"/>
        <w:ind w:left="100" w:right="100" w:firstLine="0"/>
        <w:jc w:val="center"/>
        <w:rPr>
          <w:rFonts w:ascii="Times New Roman" w:eastAsia="Times New Roman" w:hAnsi="Times New Roman" w:cs="Times New Roman"/>
          <w:kern w:val="0"/>
          <w:sz w:val="24"/>
        </w:rPr>
      </w:pPr>
      <w:r>
        <w:rPr>
          <w:rFonts w:ascii="SimSun" w:eastAsia="SimSun" w:hAnsi="SimSun" w:cs="SimSun"/>
          <w:spacing w:val="0"/>
          <w:kern w:val="0"/>
          <w:sz w:val="36"/>
          <w:szCs w:val="36"/>
        </w:rPr>
        <w:t> </w:t>
      </w:r>
    </w:p>
    <w:p>
      <w:pPr>
        <w:pStyle w:val="MsoNormal"/>
        <w:widowControl/>
        <w:spacing w:before="100" w:after="100" w:line="560" w:lineRule="atLeast"/>
        <w:ind w:left="100" w:right="100" w:firstLine="0"/>
        <w:jc w:val="center"/>
        <w:rPr>
          <w:rFonts w:ascii="Times New Roman" w:eastAsia="Times New Roman" w:hAnsi="Times New Roman" w:cs="Times New Roman"/>
          <w:kern w:val="0"/>
          <w:sz w:val="24"/>
        </w:rPr>
      </w:pPr>
    </w:p>
    <w:p>
      <w:pPr>
        <w:pStyle w:val="MsoNormal"/>
        <w:widowControl/>
        <w:spacing w:before="100" w:after="100" w:line="560" w:lineRule="atLeast"/>
        <w:ind w:left="100" w:right="100" w:firstLine="0"/>
        <w:rPr>
          <w:rFonts w:ascii="Times New Roman" w:eastAsia="Times New Roman" w:hAnsi="Times New Roman" w:cs="Times New Roman"/>
          <w:kern w:val="0"/>
          <w:sz w:val="24"/>
        </w:rPr>
      </w:pPr>
      <w:r>
        <w:rPr>
          <w:rFonts w:ascii="SimSun" w:eastAsia="SimSun" w:hAnsi="SimSun" w:cs="SimSun"/>
          <w:spacing w:val="0"/>
          <w:kern w:val="0"/>
          <w:sz w:val="36"/>
          <w:szCs w:val="36"/>
        </w:rPr>
        <w:t> </w:t>
      </w:r>
    </w:p>
    <w:p>
      <w:pPr>
        <w:pStyle w:val="MsoNormal"/>
        <w:widowControl/>
        <w:spacing w:before="100" w:after="100" w:line="560" w:lineRule="atLeast"/>
        <w:ind w:left="100" w:right="100" w:firstLine="0"/>
        <w:jc w:val="center"/>
        <w:rPr>
          <w:rFonts w:ascii="Times New Roman" w:eastAsia="Times New Roman" w:hAnsi="Times New Roman" w:cs="Times New Roman"/>
          <w:kern w:val="0"/>
          <w:sz w:val="24"/>
        </w:rPr>
      </w:pPr>
      <w:r>
        <w:rPr>
          <w:rFonts w:ascii="SimSun" w:eastAsia="SimSun" w:hAnsi="SimSun" w:cs="SimSun"/>
          <w:spacing w:val="0"/>
          <w:kern w:val="0"/>
          <w:sz w:val="36"/>
          <w:szCs w:val="36"/>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Calibri" w:eastAsia="Calibri" w:hAnsi="Calibri" w:cs="Calibri"/>
          <w:spacing w:val="0"/>
          <w:kern w:val="0"/>
          <w:szCs w:val="21"/>
        </w:rPr>
        <w:t> </w:t>
      </w:r>
      <w:r>
        <w:rPr>
          <w:rFonts w:ascii="SimSun" w:eastAsia="SimSun" w:hAnsi="SimSun" w:cs="SimSun"/>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SimSun" w:eastAsia="SimSun" w:hAnsi="SimSun" w:cs="SimSun"/>
          <w:spacing w:val="0"/>
          <w:kern w:val="0"/>
          <w:sz w:val="36"/>
          <w:szCs w:val="36"/>
        </w:rPr>
        <w:t> </w:t>
      </w:r>
      <w:r>
        <w:rPr>
          <w:rFonts w:ascii="SimSun" w:eastAsia="SimSun" w:hAnsi="SimSun" w:cs="SimSun"/>
          <w:spacing w:val="0"/>
          <w:kern w:val="0"/>
          <w:sz w:val="36"/>
          <w:szCs w:val="36"/>
        </w:rPr>
        <w:t> </w:t>
      </w:r>
      <w:r>
        <w:rPr>
          <w:rFonts w:ascii="SimSun" w:eastAsia="SimSun" w:hAnsi="SimSun" w:cs="SimSun"/>
          <w:spacing w:val="0"/>
          <w:kern w:val="0"/>
          <w:sz w:val="36"/>
          <w:szCs w:val="36"/>
        </w:rPr>
        <w:t> </w:t>
      </w:r>
      <w:r>
        <w:rPr>
          <w:rFonts w:ascii="SimSun" w:eastAsia="SimSun" w:hAnsi="SimSun" w:cs="SimSun"/>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SimSun" w:eastAsia="SimSun" w:hAnsi="SimSun" w:cs="SimSun"/>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SimSun" w:eastAsia="SimSun" w:hAnsi="SimSun" w:cs="SimSun"/>
          <w:spacing w:val="0"/>
          <w:kern w:val="0"/>
          <w:sz w:val="36"/>
          <w:szCs w:val="36"/>
        </w:rPr>
        <w:t> </w:t>
      </w:r>
      <w:r>
        <w:rPr>
          <w:rFonts w:ascii="SimSun" w:eastAsia="SimSun" w:hAnsi="SimSun" w:cs="SimSun"/>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SimSun" w:eastAsia="SimSun" w:hAnsi="SimSun" w:cs="SimSun"/>
          <w:spacing w:val="0"/>
          <w:kern w:val="0"/>
          <w:sz w:val="36"/>
          <w:szCs w:val="36"/>
        </w:rPr>
        <w:t>  </w:t>
      </w: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16" w:name="_Toc256000068"/>
      <w:r>
        <w:rPr>
          <w:rFonts w:ascii="SimHei" w:eastAsia="SimHei" w:hAnsi="SimHei" w:cs="SimHei"/>
          <w:b w:val="0"/>
          <w:bCs w:val="0"/>
          <w:spacing w:val="0"/>
          <w:sz w:val="56"/>
          <w:szCs w:val="56"/>
        </w:rPr>
        <w:t>第三部分</w:t>
      </w:r>
      <w:r>
        <w:rPr>
          <w:rFonts w:ascii="SimHei" w:eastAsia="SimHei" w:hAnsi="SimHei" w:cs="SimHei"/>
          <w:b w:val="0"/>
          <w:bCs w:val="0"/>
          <w:spacing w:val="0"/>
          <w:sz w:val="56"/>
          <w:szCs w:val="56"/>
        </w:rPr>
        <w:br/>
      </w:r>
      <w:r>
        <w:rPr>
          <w:rFonts w:ascii="SimHei" w:eastAsia="SimHei" w:hAnsi="SimHei" w:cs="SimHei"/>
          <w:b w:val="0"/>
          <w:bCs w:val="0"/>
          <w:spacing w:val="0"/>
          <w:sz w:val="56"/>
          <w:szCs w:val="56"/>
        </w:rPr>
        <w:t>2025年度部门决算情况说明</w:t>
      </w:r>
      <w:bookmarkEnd w:id="16"/>
    </w:p>
    <w:p>
      <w:pPr>
        <w:widowControl/>
        <w:spacing w:before="240" w:after="240"/>
        <w:jc w:val="left"/>
        <w:rPr>
          <w:rFonts w:ascii="Times New Roman" w:eastAsia="Times New Roman" w:hAnsi="Times New Roman" w:cs="Times New Roman"/>
          <w:kern w:val="0"/>
          <w:sz w:val="24"/>
        </w:rPr>
      </w:pPr>
    </w:p>
    <w:p>
      <w:pPr>
        <w:sectPr>
          <w:footerReference w:type="default" r:id="rId19"/>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spacing w:before="240" w:after="240"/>
        <w:jc w:val="left"/>
        <w:rPr>
          <w:rFonts w:ascii="Times New Roman" w:eastAsia="Times New Roman" w:hAnsi="Times New Roman" w:cs="Times New Roman"/>
          <w:kern w:val="0"/>
          <w:sz w:val="24"/>
        </w:rPr>
      </w:pP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17" w:name="_Toc256000069"/>
      <w:r>
        <w:rPr>
          <w:rFonts w:ascii="SimHei" w:eastAsia="SimHei" w:hAnsi="SimHei" w:cs="SimHei"/>
          <w:b w:val="0"/>
          <w:bCs w:val="0"/>
          <w:spacing w:val="0"/>
        </w:rPr>
        <w:t>一、收入支出决算总体情况说明</w:t>
      </w:r>
      <w:bookmarkEnd w:id="17"/>
      <w:r>
        <w:rPr>
          <w:rFonts w:ascii="SimHei" w:eastAsia="SimHei" w:hAnsi="SimHei" w:cs="SimHei"/>
          <w:b w:val="0"/>
          <w:bCs w:val="0"/>
          <w:spacing w:val="0"/>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（一）收入支出决算总体情况说明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2025年度本部门收入总计2022.19万元，支出总计2022.19万元，与上年决算数相比，各增加479.60万元，增长31.09%。主要是项目支出增加。</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（二）收入决算情况说明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2025年度收入2022.19万元，比上年决算数增加479.60万元，增长31.09</w:t>
      </w:r>
      <w:r>
        <w:rPr>
          <w:rFonts w:ascii="FangSong_GB2312" w:eastAsia="FangSong_GB2312" w:hAnsi="FangSong_GB2312" w:cs="FangSong_GB2312"/>
          <w:spacing w:val="0"/>
          <w:kern w:val="0"/>
          <w:sz w:val="32"/>
          <w:szCs w:val="32"/>
        </w:rPr>
        <w:t>%</w:t>
      </w:r>
      <w:r>
        <w:rPr>
          <w:rFonts w:ascii="FangSong_GB2312" w:eastAsia="FangSong_GB2312" w:hAnsi="FangSong_GB2312" w:cs="FangSong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1.一般公共预算财政拨款收入1916.92万元。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2.政府性基金预算财政拨款收入105.26万元。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3.国有资本经营预算财政拨款收入0万元。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4.上级补助收入0万元。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5.事业收入0万元。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6.经营收入0万元。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7.附属单位上缴收入0万元。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8.其他收入0万元。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（三）支出决算情况说明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2025年度支出2022.19万元，比上年决算数增加479.60万元，增长31.09</w:t>
      </w:r>
      <w:r>
        <w:rPr>
          <w:rFonts w:ascii="FangSong_GB2312" w:eastAsia="FangSong_GB2312" w:hAnsi="FangSong_GB2312" w:cs="FangSong_GB2312"/>
          <w:spacing w:val="0"/>
          <w:kern w:val="0"/>
          <w:sz w:val="32"/>
          <w:szCs w:val="32"/>
        </w:rPr>
        <w:t>%</w:t>
      </w:r>
      <w:r>
        <w:rPr>
          <w:rFonts w:ascii="FangSong_GB2312" w:eastAsia="FangSong_GB2312" w:hAnsi="FangSong_GB2312" w:cs="FangSong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1.基本支出1255.96万元。其中，人员支出682.72万元，公用支出573.23万元。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2.项目支出766.23万元。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3.上缴上级支出0万元。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4.经营支出0万元。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5.对附属单位补助支出0万元。</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18" w:name="_Toc256000070"/>
      <w:r>
        <w:rPr>
          <w:rFonts w:ascii="SimHei" w:eastAsia="SimHei" w:hAnsi="SimHei" w:cs="SimHei"/>
          <w:b w:val="0"/>
          <w:bCs w:val="0"/>
          <w:spacing w:val="0"/>
        </w:rPr>
        <w:t>二、财政拨款收入支出决算总体情况说明</w:t>
      </w:r>
      <w:bookmarkEnd w:id="18"/>
      <w:r>
        <w:rPr>
          <w:rFonts w:ascii="SimHei" w:eastAsia="SimHei" w:hAnsi="SimHei" w:cs="SimHei"/>
          <w:b w:val="0"/>
          <w:bCs w:val="0"/>
          <w:spacing w:val="0"/>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2025年度财政拨款收入总计2022.19万元，支出总计 2022.19万元，与上年决算数相比，各增加479.60</w:t>
      </w:r>
      <w:r>
        <w:rPr>
          <w:rFonts w:ascii="FangSong_GB2312" w:eastAsia="FangSong_GB2312" w:hAnsi="FangSong_GB2312" w:cs="FangSong_GB2312"/>
          <w:spacing w:val="0"/>
          <w:kern w:val="0"/>
          <w:sz w:val="32"/>
          <w:szCs w:val="32"/>
        </w:rPr>
        <w:t>万元，增长31.09</w:t>
      </w:r>
      <w:r>
        <w:rPr>
          <w:rFonts w:ascii="FangSong_GB2312" w:eastAsia="FangSong_GB2312" w:hAnsi="FangSong_GB2312" w:cs="FangSong_GB2312"/>
          <w:spacing w:val="0"/>
          <w:kern w:val="0"/>
          <w:sz w:val="32"/>
          <w:szCs w:val="32"/>
        </w:rPr>
        <w:t>%，</w:t>
      </w:r>
      <w:r>
        <w:rPr>
          <w:rFonts w:ascii="FangSong_GB2312" w:eastAsia="FangSong_GB2312" w:hAnsi="FangSong_GB2312" w:cs="FangSong_GB2312"/>
          <w:spacing w:val="0"/>
          <w:kern w:val="0"/>
          <w:sz w:val="32"/>
          <w:szCs w:val="32"/>
        </w:rPr>
        <w:t>主要是：项目支出增加。。</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9" w:name="_Toc256000071"/>
      <w:r>
        <w:rPr>
          <w:rFonts w:ascii="SimHei" w:eastAsia="SimHei" w:hAnsi="SimHei" w:cs="SimHei"/>
          <w:b w:val="0"/>
          <w:bCs w:val="0"/>
          <w:spacing w:val="0"/>
        </w:rPr>
        <w:t>三、一般公共预算财政拨款支出决算情况说明</w:t>
      </w:r>
      <w:bookmarkEnd w:id="1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2025年度一般公共预算财政拨款支出1916.92万元，比上年决算数增加600.26万元，增长45.59%，具体情况如下(按项级科目分类统计)：</w:t>
      </w:r>
    </w:p>
    <w:p>
      <w:pPr>
        <w:pStyle w:val="MsoNormal"/>
        <w:widowControl/>
        <w:spacing w:before="100" w:after="100" w:line="560" w:lineRule="atLeast"/>
        <w:ind w:left="100" w:right="100" w:firstLine="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  （一）2010301 行政运行 817.27万元，较上年决算数增加626.36万元，增长328.10%。主要原因是预算项目调整。</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  （二）2010350 事业运行 15.33万元，较上年决算数增加15.33万元。主要原因是人员工资增长。</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  （三）2019999 其他一般公共服务支出 20.00万元，较上年决算数增加20.00万元。主要原因是项目支出增长。</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  （四）2080801 死亡抚恤 40.53万元，较上年决算数增加21.12万元，增长108.74%。主要原因是有2名退休干部死亡。</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  （五）2110399 其他污染防治支出 347.45万元，较上年决算数增加347.45万元。主要原因是项目支出增加。</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  （六）2110402 农村环境保护 2.92万元，较上年决算数增加2.92万元。主要原因是项目支出增加。</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  （七）2120501 城乡社区环境卫生 0.83万元，较上年决算数减少0.14万元，下降14.64%。主要原因是预算项目调整。</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  （八）2129999 其他城乡社区支出 379.23万元，较上年决算数增加299.23万元，增长374.03%。主要原因是预算项目调整。</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  （九）2130504 农村基础设施建设 8.00万元，较上年决算数增加8.00万元。主要原因是项目支出增加。</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  （十）2130599 其他巩固脱贫攻坚成果衔接乡村振兴支出 71.00万元，较上年决算数增加27.00万元，增长61.36%。主要原因是预算项目调整。</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  （十一）2130705 对村民委员会和村党支部的补助 34.06万元，较上年决算数减少11.16万元，下降24.68%。主要原因是预算项目调整。</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  （十二）2140106 公路养护 55.33万元，较上年决算数增加55.33万元。主要原因是预算项目调整。</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  （十三）2159999 其他资源勘探工业信息等支出 0.14万元，较上年决算数减少1.11万元，下降88.80%。主要原因是预算项目调整。</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  （十四）2200106 自然资源利用与保护 106.68万元，较上年决算数增加63.92万元，增长149.48%。主要原因是预算项目调整。</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  （十五）2240703 自然灾害救灾补助 18.00万元，较上年决算数增加18.00万元。主要原因是预算项目调整。</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  （十六）2299999 其他支出 0.15万元，较上年决算数减少19.55万元，下降99.24%。主要原因是预算项目调整。</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20" w:name="_Toc256000072"/>
      <w:r>
        <w:rPr>
          <w:rFonts w:ascii="SimHei" w:eastAsia="SimHei" w:hAnsi="SimHei" w:cs="SimHei"/>
          <w:b w:val="0"/>
          <w:bCs w:val="0"/>
          <w:spacing w:val="0"/>
        </w:rPr>
        <w:t>四、政府性基金预算财政拨款支出决算情况说明</w:t>
      </w:r>
      <w:bookmarkEnd w:id="20"/>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2025年度政府性基金预算财政拨款支出105.26万元，比上年决算数减少114.22万元，下降52.04%，</w:t>
      </w:r>
      <w:r>
        <w:rPr>
          <w:rFonts w:ascii="FangSong_GB2312" w:eastAsia="FangSong_GB2312" w:hAnsi="FangSong_GB2312" w:cs="FangSong_GB2312"/>
          <w:spacing w:val="0"/>
          <w:kern w:val="0"/>
          <w:sz w:val="32"/>
          <w:szCs w:val="32"/>
        </w:rPr>
        <w:t>具体情况如下(按项级科目统计)：</w:t>
      </w:r>
    </w:p>
    <w:p>
      <w:pPr>
        <w:pStyle w:val="MsoNormal"/>
        <w:widowControl/>
        <w:spacing w:before="100" w:after="100" w:line="560" w:lineRule="atLeast"/>
        <w:ind w:left="100" w:right="100" w:firstLine="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  （一）2120801 征地和拆迁补偿支出 5.67万元，较上年决算数减少161.81万元，下降96.61%。主要原因是项目支出减少。</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  （二）2296099 用于其他社会公益事业的彩票公益金支出 99.59万元，较上年决算数增加59.59万元，增长148.98%。主要原因是项目支出增加。</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21" w:name="_Toc256000073"/>
      <w:r>
        <w:rPr>
          <w:rFonts w:ascii="SimHei" w:eastAsia="SimHei" w:hAnsi="SimHei" w:cs="SimHei"/>
          <w:b w:val="0"/>
          <w:bCs w:val="0"/>
          <w:spacing w:val="0"/>
        </w:rPr>
        <w:t>五、国有资本经营预算财政拨款支出决算情况说明</w:t>
      </w:r>
      <w:bookmarkEnd w:id="21"/>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本部门2025年度没有使用国有资本经营预算财政拨款安排的支出。</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22" w:name="_Toc256000074"/>
      <w:r>
        <w:rPr>
          <w:rFonts w:ascii="SimHei" w:eastAsia="SimHei" w:hAnsi="SimHei" w:cs="SimHei"/>
          <w:b w:val="0"/>
          <w:bCs w:val="0"/>
          <w:spacing w:val="0"/>
        </w:rPr>
        <w:t>六、一般公共预算财政拨款基本支出决算情况说明</w:t>
      </w:r>
      <w:bookmarkEnd w:id="22"/>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2025年度一般公共预算财政拨款基本支出1255.96万元，其中：</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（一）人员经费682.72万元，主要包括：</w:t>
      </w:r>
      <w:r>
        <w:rPr>
          <w:rFonts w:ascii="FangSong_GB2312" w:eastAsia="FangSong_GB2312" w:hAnsi="FangSong_GB2312" w:cs="FangSong_GB2312"/>
          <w:kern w:val="0"/>
          <w:sz w:val="32"/>
          <w:szCs w:val="32"/>
        </w:rPr>
        <w:t>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（二）公用经费573.23万元，主要包括：</w:t>
      </w:r>
      <w:r>
        <w:rPr>
          <w:rFonts w:ascii="FangSong_GB2312" w:eastAsia="FangSong_GB2312" w:hAnsi="FangSong_GB2312" w:cs="FangSong_GB2312"/>
          <w:kern w:val="0"/>
          <w:sz w:val="32"/>
          <w:szCs w:val="32"/>
        </w:rPr>
        <w:t>办公费、印刷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23" w:name="_Toc256000075"/>
      <w:r>
        <w:rPr>
          <w:rFonts w:ascii="SimHei" w:eastAsia="SimHei" w:hAnsi="SimHei" w:cs="SimHei"/>
          <w:b w:val="0"/>
          <w:bCs w:val="0"/>
          <w:spacing w:val="0"/>
        </w:rPr>
        <w:t>七、一般公共预算财政拨款“三公”经费支出决算情况说明</w:t>
      </w:r>
      <w:bookmarkEnd w:id="2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2025年度一般公共预算财政拨款“三公”经费支出1.27万元，完成全年预算的31.87%；</w:t>
      </w:r>
      <w:r>
        <w:rPr>
          <w:rFonts w:ascii="FangSong_GB2312" w:eastAsia="FangSong_GB2312" w:hAnsi="FangSong_GB2312" w:cs="FangSong_GB2312"/>
          <w:spacing w:val="0"/>
          <w:kern w:val="0"/>
          <w:sz w:val="32"/>
          <w:szCs w:val="32"/>
        </w:rPr>
        <w:t>较上年减少2.53万元，下降66.47%。主要原因是预算项目调整</w:t>
      </w:r>
      <w:r>
        <w:rPr>
          <w:rFonts w:ascii="FangSong_GB2312" w:eastAsia="FangSong_GB2312" w:hAnsi="FangSong_GB2312" w:cs="FangSong_GB2312"/>
          <w:kern w:val="0"/>
          <w:sz w:val="32"/>
          <w:szCs w:val="32"/>
        </w:rPr>
        <w:t>。</w:t>
      </w:r>
      <w:r>
        <w:rPr>
          <w:rFonts w:ascii="FangSong_GB2312" w:eastAsia="FangSong_GB2312" w:hAnsi="FangSong_GB2312" w:cs="FangSong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（一）因公出国（境）费用支出 0万元，与全年预算数持平，</w:t>
      </w:r>
      <w:r>
        <w:rPr>
          <w:rFonts w:ascii="FangSong_GB2312" w:eastAsia="FangSong_GB2312" w:hAnsi="FangSong_GB2312" w:cs="FangSong_GB2312"/>
          <w:kern w:val="0"/>
          <w:sz w:val="32"/>
          <w:szCs w:val="32"/>
        </w:rPr>
        <w:t>与上年决算数持平。</w:t>
      </w:r>
      <w:r>
        <w:rPr>
          <w:rFonts w:ascii="FangSong_GB2312" w:eastAsia="FangSong_GB2312" w:hAnsi="FangSong_GB2312" w:cs="FangSong_GB2312"/>
          <w:kern w:val="0"/>
          <w:sz w:val="32"/>
          <w:szCs w:val="32"/>
        </w:rPr>
        <w:t>全年安排本部门组织的出国团组0 个，参加其他部门出国团组0个；全年因公出国（境）累计0 人次。</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（二）公务用车购置及运行费支出1.27万元，完成全年预算的31.87%；</w:t>
      </w:r>
      <w:r>
        <w:rPr>
          <w:rFonts w:ascii="FangSong_GB2312" w:eastAsia="FangSong_GB2312" w:hAnsi="FangSong_GB2312" w:cs="FangSong_GB2312"/>
          <w:spacing w:val="0"/>
          <w:kern w:val="0"/>
          <w:sz w:val="32"/>
          <w:szCs w:val="32"/>
        </w:rPr>
        <w:t>较上年</w:t>
      </w:r>
      <w:r>
        <w:rPr>
          <w:rFonts w:ascii="FangSong_GB2312" w:eastAsia="FangSong_GB2312" w:hAnsi="FangSong_GB2312" w:cs="FangSong_GB2312"/>
          <w:kern w:val="0"/>
          <w:sz w:val="32"/>
          <w:szCs w:val="32"/>
        </w:rPr>
        <w:t>减少2.53万元，下降66.47%。</w:t>
      </w:r>
      <w:r>
        <w:rPr>
          <w:rFonts w:ascii="FangSong_GB2312" w:eastAsia="FangSong_GB2312" w:hAnsi="FangSong_GB2312" w:cs="FangSong_GB2312"/>
          <w:kern w:val="0"/>
          <w:sz w:val="32"/>
          <w:szCs w:val="32"/>
        </w:rPr>
        <w:t>其中：</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公务用车购置费支出0万元，与全年预算数持平，</w:t>
      </w:r>
      <w:r>
        <w:rPr>
          <w:rFonts w:ascii="FangSong_GB2312" w:eastAsia="FangSong_GB2312" w:hAnsi="FangSong_GB2312" w:cs="FangSong_GB2312"/>
          <w:kern w:val="0"/>
          <w:sz w:val="32"/>
          <w:szCs w:val="32"/>
        </w:rPr>
        <w:t>与上年决算数持平</w:t>
      </w:r>
      <w:r>
        <w:rPr>
          <w:rFonts w:ascii="FangSong_GB2312" w:eastAsia="FangSong_GB2312" w:hAnsi="FangSong_GB2312" w:cs="FangSong_GB2312"/>
          <w:kern w:val="0"/>
          <w:sz w:val="32"/>
          <w:szCs w:val="32"/>
        </w:rPr>
        <w:t>。</w:t>
      </w:r>
      <w:r>
        <w:rPr>
          <w:rFonts w:ascii="FangSong_GB2312" w:eastAsia="FangSong_GB2312" w:hAnsi="FangSong_GB2312" w:cs="FangSong_GB2312"/>
          <w:kern w:val="0"/>
          <w:sz w:val="32"/>
          <w:szCs w:val="32"/>
        </w:rPr>
        <w:t>2025年公务用车购置0辆</w:t>
      </w:r>
      <w:r>
        <w:rPr>
          <w:rFonts w:ascii="FangSong_GB2312" w:eastAsia="FangSong_GB2312" w:hAnsi="FangSong_GB2312" w:cs="FangSong_GB2312"/>
          <w:kern w:val="0"/>
          <w:sz w:val="32"/>
          <w:szCs w:val="32"/>
        </w:rPr>
        <w:t>。</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公务用车运行费支出1.27万元，完成全年预算的31.87%；</w:t>
      </w:r>
      <w:r>
        <w:rPr>
          <w:rFonts w:ascii="FangSong_GB2312" w:eastAsia="FangSong_GB2312" w:hAnsi="FangSong_GB2312" w:cs="FangSong_GB2312"/>
          <w:spacing w:val="0"/>
          <w:kern w:val="0"/>
          <w:sz w:val="32"/>
          <w:szCs w:val="32"/>
        </w:rPr>
        <w:t>较上年减少2.53万元，下降66.47%。</w:t>
      </w:r>
      <w:r>
        <w:rPr>
          <w:rFonts w:ascii="FangSong_GB2312" w:eastAsia="FangSong_GB2312" w:hAnsi="FangSong_GB2312" w:cs="FangSong_GB2312"/>
          <w:spacing w:val="0"/>
          <w:kern w:val="0"/>
          <w:sz w:val="32"/>
          <w:szCs w:val="32"/>
        </w:rPr>
        <w:t>主要是燃油车支出减少。</w:t>
      </w:r>
      <w:r>
        <w:rPr>
          <w:rFonts w:ascii="FangSong_GB2312" w:eastAsia="FangSong_GB2312" w:hAnsi="FangSong_GB2312" w:cs="FangSong_GB2312"/>
          <w:spacing w:val="0"/>
          <w:kern w:val="0"/>
          <w:sz w:val="32"/>
          <w:szCs w:val="32"/>
        </w:rPr>
        <w:t>截至2025年12月31日，本部门公务用车保有量为3辆。</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（三）公务接待费支出0万元，与全年预算数持平，</w:t>
      </w:r>
      <w:r>
        <w:rPr>
          <w:rFonts w:ascii="FangSong_GB2312" w:eastAsia="FangSong_GB2312" w:hAnsi="FangSong_GB2312" w:cs="FangSong_GB2312"/>
          <w:spacing w:val="0"/>
          <w:kern w:val="0"/>
          <w:sz w:val="32"/>
          <w:szCs w:val="32"/>
        </w:rPr>
        <w:t>与上年决算数持平。</w:t>
      </w:r>
      <w:r>
        <w:rPr>
          <w:rFonts w:ascii="FangSong_GB2312" w:eastAsia="FangSong_GB2312" w:hAnsi="FangSong_GB2312" w:cs="FangSong_GB2312"/>
          <w:kern w:val="0"/>
          <w:sz w:val="32"/>
          <w:szCs w:val="32"/>
        </w:rPr>
        <w:t>累计接待0批次、0人次</w:t>
      </w:r>
      <w:r>
        <w:rPr>
          <w:rFonts w:ascii="FangSong_GB2312" w:eastAsia="FangSong_GB2312" w:hAnsi="FangSong_GB2312" w:cs="FangSong_GB2312"/>
          <w:kern w:val="0"/>
          <w:sz w:val="32"/>
          <w:szCs w:val="32"/>
        </w:rPr>
        <w:t>。</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24" w:name="_Toc256000076"/>
      <w:r>
        <w:rPr>
          <w:rFonts w:ascii="SimHei" w:eastAsia="SimHei" w:hAnsi="SimHei" w:cs="SimHei"/>
          <w:b w:val="0"/>
          <w:bCs w:val="0"/>
          <w:spacing w:val="0"/>
        </w:rPr>
        <w:t>八、预算绩效情况说明</w:t>
      </w:r>
      <w:bookmarkEnd w:id="24"/>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根据全面实施预算绩效管理要求，本部门组织对2025年度2个项目实施单位自评。</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对2个项目实施部门评价，分别是2025年中央少数民族发展资金、部门整体等项目，涉及财政拨款资金共计3076.13万元，评价结果等次为“优”“良”“中”“差”的项目分别是2个、0个、0个、0个。（《项目支出绩效评价报告》详见附件一）</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25" w:name="_Toc256000077"/>
      <w:r>
        <w:rPr>
          <w:rFonts w:ascii="SimHei" w:eastAsia="SimHei" w:hAnsi="SimHei" w:cs="SimHei"/>
          <w:b w:val="0"/>
          <w:bCs w:val="0"/>
          <w:spacing w:val="0"/>
        </w:rPr>
        <w:t>九、其他重要事项说明</w:t>
      </w:r>
      <w:bookmarkEnd w:id="25"/>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（一）机关运行经费</w:t>
      </w:r>
      <w:r>
        <w:rPr>
          <w:rFonts w:ascii="楷体_GB2312" w:eastAsia="楷体_GB2312" w:hAnsi="楷体_GB2312" w:cs="楷体_GB2312"/>
          <w:b/>
          <w:bCs/>
          <w:spacing w:val="0"/>
          <w:kern w:val="0"/>
          <w:sz w:val="32"/>
          <w:szCs w:val="32"/>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2025年度机关运行经费支出573.23万元，比上年决算数增加523.24万元，</w:t>
      </w:r>
      <w:r>
        <w:rPr>
          <w:rFonts w:ascii="FangSong_GB2312" w:eastAsia="FangSong_GB2312" w:hAnsi="FangSong_GB2312" w:cs="FangSong_GB2312"/>
          <w:spacing w:val="0"/>
          <w:kern w:val="0"/>
          <w:sz w:val="32"/>
          <w:szCs w:val="32"/>
        </w:rPr>
        <w:t>增长</w:t>
      </w:r>
      <w:r>
        <w:rPr>
          <w:rFonts w:ascii="FangSong_GB2312" w:eastAsia="FangSong_GB2312" w:hAnsi="FangSong_GB2312" w:cs="FangSong_GB2312"/>
          <w:spacing w:val="0"/>
          <w:kern w:val="0"/>
          <w:sz w:val="32"/>
          <w:szCs w:val="32"/>
        </w:rPr>
        <w:t>1046.70%，主要原因是:预算项目调整。</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（二）政府采购情况</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本部门2025年度政府采购支出总额0.55万元，其中：政府采购货物支出0.55万元、政府采购工程支出0万元、政府采购服务支出0万元。授予中小企业合同金额0.55万元，占政府采购支出总额的100.00%，其中：授予小微企业合同金额0.55万元，占授予中小企业合同金额的100.00%；货物采购授予中小企业合同金额占货物支出金额的100%，工程采购授予中小企业合同金额占工程支出金额的100%，服务采购授予中小企业合同金额占服务支出金额的100%。</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（三）国有资产占用使用情况</w:t>
      </w:r>
      <w:r>
        <w:rPr>
          <w:rFonts w:ascii="楷体_GB2312" w:eastAsia="楷体_GB2312" w:hAnsi="楷体_GB2312" w:cs="楷体_GB2312"/>
          <w:b/>
          <w:bCs/>
          <w:spacing w:val="0"/>
          <w:kern w:val="0"/>
          <w:sz w:val="32"/>
          <w:szCs w:val="32"/>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截至2025年12月31日，本部门共有车辆3 辆，其中：副部（省）级以上领导用车0辆、主要负责人用车0辆、机要通信用车0辆、应急保障用车0辆、执法执勤用车0辆、特种专业技术用车0辆、离退休干部服务用车0辆、其他用车3辆，其他用车主要是应急保障用车；单价100万元（含）以上设备（不含车辆）0台（套）。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sectPr>
          <w:footerReference w:type="default" r:id="rId20"/>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r>
        <w:rPr>
          <w:rFonts w:ascii="Times New Roman" w:eastAsia="Times New Roman" w:hAnsi="Times New Roman" w:cs="Times New Roman"/>
          <w:b/>
          <w:spacing w:val="0"/>
          <w:sz w:val="56"/>
          <w:szCs w:val="56"/>
        </w:rPr>
        <w:t> </w:t>
      </w:r>
    </w:p>
    <w:p>
      <w:pPr>
        <w:widowControl/>
        <w:spacing w:before="240" w:after="2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26" w:name="_Toc256000079"/>
      <w:r>
        <w:rPr>
          <w:rFonts w:ascii="SimHei" w:eastAsia="SimHei" w:hAnsi="SimHei" w:cs="SimHei"/>
          <w:b w:val="0"/>
          <w:bCs w:val="0"/>
          <w:spacing w:val="0"/>
          <w:sz w:val="56"/>
          <w:szCs w:val="56"/>
        </w:rPr>
        <w:t>第四部分</w:t>
      </w:r>
      <w:r>
        <w:rPr>
          <w:rFonts w:ascii="SimHei" w:eastAsia="SimHei" w:hAnsi="SimHei" w:cs="SimHei"/>
          <w:b w:val="0"/>
          <w:bCs w:val="0"/>
          <w:spacing w:val="0"/>
          <w:sz w:val="56"/>
          <w:szCs w:val="56"/>
        </w:rPr>
        <w:br/>
      </w:r>
      <w:r>
        <w:rPr>
          <w:rFonts w:ascii="SimHei" w:eastAsia="SimHei" w:hAnsi="SimHei" w:cs="SimHei"/>
          <w:b w:val="0"/>
          <w:bCs w:val="0"/>
          <w:spacing w:val="0"/>
          <w:sz w:val="56"/>
          <w:szCs w:val="56"/>
        </w:rPr>
        <w:t>名词解释</w:t>
      </w:r>
      <w:bookmarkEnd w:id="26"/>
    </w:p>
    <w:p>
      <w:pPr>
        <w:pStyle w:val="MsoNormal"/>
        <w:widowControl/>
        <w:spacing w:before="100" w:after="100"/>
        <w:ind w:left="100" w:right="100" w:firstLine="0"/>
        <w:jc w:val="center"/>
        <w:rPr>
          <w:rFonts w:ascii="Times New Roman" w:eastAsia="Times New Roman" w:hAnsi="Times New Roman" w:cs="Times New Roman"/>
          <w:kern w:val="0"/>
          <w:sz w:val="24"/>
        </w:rPr>
      </w:pPr>
    </w:p>
    <w:p>
      <w:pPr>
        <w:sectPr>
          <w:footerReference w:type="default" r:id="rId21"/>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spacing w:before="240" w:after="2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一、财政拨款收入：</w:t>
      </w:r>
      <w:r>
        <w:rPr>
          <w:rFonts w:ascii="FangSong_GB2312" w:eastAsia="FangSong_GB2312" w:hAnsi="FangSong_GB2312" w:cs="FangSong_GB2312"/>
          <w:spacing w:val="0"/>
          <w:kern w:val="0"/>
          <w:sz w:val="32"/>
          <w:szCs w:val="32"/>
        </w:rPr>
        <w:t>指单位从本级财政部门取得的财政预算资金，包括一般公共预算财政拨款、政府性基金预算财政拨款和国有资本经营预算财政拨款。</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二、事业收入：</w:t>
      </w:r>
      <w:r>
        <w:rPr>
          <w:rFonts w:ascii="FangSong_GB2312" w:eastAsia="FangSong_GB2312" w:hAnsi="FangSong_GB2312" w:cs="FangSong_GB2312"/>
          <w:spacing w:val="0"/>
          <w:kern w:val="0"/>
          <w:sz w:val="32"/>
          <w:szCs w:val="32"/>
        </w:rPr>
        <w:t>指事业单位开展专业业务活动及辅助活动所取得的收入。</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三、经营收入：</w:t>
      </w:r>
      <w:r>
        <w:rPr>
          <w:rFonts w:ascii="FangSong_GB2312" w:eastAsia="FangSong_GB2312" w:hAnsi="FangSong_GB2312" w:cs="FangSong_GB2312"/>
          <w:spacing w:val="0"/>
          <w:kern w:val="0"/>
          <w:sz w:val="32"/>
          <w:szCs w:val="32"/>
        </w:rPr>
        <w:t>指事业单位在专业业务活动及其辅助活动之外开展非独立核算经营活动取得的收入。</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四、其他收入：</w:t>
      </w:r>
      <w:r>
        <w:rPr>
          <w:rFonts w:ascii="FangSong_GB2312" w:eastAsia="FangSong_GB2312" w:hAnsi="FangSong_GB2312" w:cs="FangSong_GB2312"/>
          <w:kern w:val="0"/>
          <w:sz w:val="32"/>
          <w:szCs w:val="32"/>
        </w:rPr>
        <w:t>指除上述</w:t>
      </w:r>
      <w:r>
        <w:rPr>
          <w:rFonts w:ascii="FangSong_GB2312" w:eastAsia="FangSong_GB2312" w:hAnsi="FangSong_GB2312" w:cs="FangSong_GB2312"/>
          <w:kern w:val="0"/>
          <w:sz w:val="32"/>
          <w:szCs w:val="32"/>
        </w:rPr>
        <w:t>“</w:t>
      </w:r>
      <w:r>
        <w:rPr>
          <w:rFonts w:ascii="FangSong_GB2312" w:eastAsia="FangSong_GB2312" w:hAnsi="FangSong_GB2312" w:cs="FangSong_GB2312"/>
          <w:kern w:val="0"/>
          <w:sz w:val="32"/>
          <w:szCs w:val="32"/>
        </w:rPr>
        <w:t>财政拨款收入</w:t>
      </w:r>
      <w:r>
        <w:rPr>
          <w:rFonts w:ascii="FangSong_GB2312" w:eastAsia="FangSong_GB2312" w:hAnsi="FangSong_GB2312" w:cs="FangSong_GB2312"/>
          <w:kern w:val="0"/>
          <w:sz w:val="32"/>
          <w:szCs w:val="32"/>
        </w:rPr>
        <w:t>”“</w:t>
      </w:r>
      <w:r>
        <w:rPr>
          <w:rFonts w:ascii="FangSong_GB2312" w:eastAsia="FangSong_GB2312" w:hAnsi="FangSong_GB2312" w:cs="FangSong_GB2312"/>
          <w:kern w:val="0"/>
          <w:sz w:val="32"/>
          <w:szCs w:val="32"/>
        </w:rPr>
        <w:t>事业收入</w:t>
      </w:r>
      <w:r>
        <w:rPr>
          <w:rFonts w:ascii="FangSong_GB2312" w:eastAsia="FangSong_GB2312" w:hAnsi="FangSong_GB2312" w:cs="FangSong_GB2312"/>
          <w:kern w:val="0"/>
          <w:sz w:val="32"/>
          <w:szCs w:val="32"/>
        </w:rPr>
        <w:t>”</w:t>
      </w:r>
      <w:r>
        <w:rPr>
          <w:rFonts w:ascii="FangSong_GB2312" w:eastAsia="FangSong_GB2312" w:hAnsi="FangSong_GB2312" w:cs="FangSong_GB2312"/>
          <w:kern w:val="0"/>
          <w:szCs w:val="21"/>
        </w:rPr>
        <w:t> </w:t>
      </w:r>
      <w:r>
        <w:rPr>
          <w:rFonts w:ascii="FangSong_GB2312" w:eastAsia="FangSong_GB2312" w:hAnsi="FangSong_GB2312" w:cs="FangSong_GB2312"/>
          <w:kern w:val="0"/>
          <w:sz w:val="32"/>
          <w:szCs w:val="32"/>
        </w:rPr>
        <w:t>“上级补助收入”“附属单位上缴收入”</w:t>
      </w:r>
      <w:r>
        <w:rPr>
          <w:rFonts w:ascii="FangSong_GB2312" w:eastAsia="FangSong_GB2312" w:hAnsi="FangSong_GB2312" w:cs="FangSong_GB2312"/>
          <w:kern w:val="0"/>
          <w:sz w:val="32"/>
          <w:szCs w:val="32"/>
        </w:rPr>
        <w:t>“</w:t>
      </w:r>
      <w:r>
        <w:rPr>
          <w:rFonts w:ascii="FangSong_GB2312" w:eastAsia="FangSong_GB2312" w:hAnsi="FangSong_GB2312" w:cs="FangSong_GB2312"/>
          <w:kern w:val="0"/>
          <w:sz w:val="32"/>
          <w:szCs w:val="32"/>
        </w:rPr>
        <w:t>经营收入</w:t>
      </w:r>
      <w:r>
        <w:rPr>
          <w:rFonts w:ascii="FangSong_GB2312" w:eastAsia="FangSong_GB2312" w:hAnsi="FangSong_GB2312" w:cs="FangSong_GB2312"/>
          <w:kern w:val="0"/>
          <w:sz w:val="32"/>
          <w:szCs w:val="32"/>
        </w:rPr>
        <w:t>”</w:t>
      </w:r>
      <w:r>
        <w:rPr>
          <w:rFonts w:ascii="FangSong_GB2312" w:eastAsia="FangSong_GB2312" w:hAnsi="FangSong_GB2312" w:cs="FangSong_GB2312"/>
          <w:kern w:val="0"/>
          <w:sz w:val="32"/>
          <w:szCs w:val="32"/>
        </w:rPr>
        <w:t>等以外取得的各项收入。主要是事业单位固定资产出租收入</w:t>
      </w:r>
      <w:r>
        <w:rPr>
          <w:rFonts w:ascii="FangSong_GB2312" w:eastAsia="FangSong_GB2312" w:hAnsi="FangSong_GB2312" w:cs="FangSong_GB2312"/>
          <w:kern w:val="0"/>
          <w:sz w:val="32"/>
          <w:szCs w:val="32"/>
        </w:rPr>
        <w:t>等。</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五、使用非财政拨款结余（含专用结余）</w:t>
      </w:r>
      <w:r>
        <w:rPr>
          <w:rFonts w:ascii="楷体_GB2312" w:eastAsia="楷体_GB2312" w:hAnsi="楷体_GB2312" w:cs="楷体_GB2312"/>
          <w:b/>
          <w:bCs/>
          <w:kern w:val="0"/>
          <w:sz w:val="24"/>
        </w:rPr>
        <w:t>：</w:t>
      </w:r>
      <w:r>
        <w:rPr>
          <w:rFonts w:ascii="FangSong_GB2312" w:eastAsia="FangSong_GB2312" w:hAnsi="FangSong_GB2312" w:cs="FangSong_GB2312"/>
          <w:kern w:val="0"/>
          <w:sz w:val="32"/>
          <w:szCs w:val="32"/>
        </w:rPr>
        <w:t>指事业单位</w:t>
      </w:r>
      <w:r>
        <w:rPr>
          <w:rFonts w:ascii="FangSong_GB2312" w:eastAsia="FangSong_GB2312" w:hAnsi="FangSong_GB2312" w:cs="FangSong_GB2312"/>
          <w:kern w:val="0"/>
          <w:sz w:val="32"/>
          <w:szCs w:val="32"/>
        </w:rPr>
        <w:t>按照预算管理要求</w:t>
      </w:r>
      <w:r>
        <w:rPr>
          <w:rFonts w:ascii="FangSong_GB2312" w:eastAsia="FangSong_GB2312" w:hAnsi="FangSong_GB2312" w:cs="FangSong_GB2312"/>
          <w:kern w:val="0"/>
          <w:sz w:val="32"/>
          <w:szCs w:val="32"/>
        </w:rPr>
        <w:t>使用非财政拨款结余弥补当年收支差额的金额</w:t>
      </w:r>
      <w:r>
        <w:rPr>
          <w:rFonts w:ascii="FangSong_GB2312" w:eastAsia="FangSong_GB2312" w:hAnsi="FangSong_GB2312" w:cs="FangSong_GB2312"/>
          <w:kern w:val="0"/>
          <w:sz w:val="32"/>
          <w:szCs w:val="32"/>
        </w:rPr>
        <w:t>，以及使用专用结余安排支出的金额</w:t>
      </w:r>
      <w:r>
        <w:rPr>
          <w:rFonts w:ascii="FangSong_GB2312" w:eastAsia="FangSong_GB2312" w:hAnsi="FangSong_GB2312" w:cs="FangSong_GB2312"/>
          <w:kern w:val="0"/>
          <w:sz w:val="32"/>
          <w:szCs w:val="32"/>
        </w:rPr>
        <w:t>。</w:t>
      </w:r>
    </w:p>
    <w:p>
      <w:pPr>
        <w:pStyle w:val="MsoNormal"/>
        <w:widowControl/>
        <w:spacing w:before="24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六、年初结转和结余：</w:t>
      </w:r>
      <w:r>
        <w:rPr>
          <w:rFonts w:ascii="FangSong_GB2312" w:eastAsia="FangSong_GB2312" w:hAnsi="FangSong_GB2312" w:cs="FangSong_GB2312"/>
          <w:spacing w:val="0"/>
          <w:kern w:val="0"/>
          <w:sz w:val="32"/>
          <w:szCs w:val="32"/>
        </w:rPr>
        <w:t>指单位以前年度尚未完成、结转到本年仍按原规定用途继续使用的资金，或项目已完成等产生的结余资金。</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七、结余分配：</w:t>
      </w:r>
      <w:r>
        <w:rPr>
          <w:rFonts w:ascii="FangSong_GB2312" w:eastAsia="FangSong_GB2312" w:hAnsi="FangSong_GB2312" w:cs="FangSong_GB2312"/>
          <w:spacing w:val="0"/>
          <w:kern w:val="0"/>
          <w:sz w:val="32"/>
          <w:szCs w:val="32"/>
        </w:rPr>
        <w:t>指事业单位按照会计制度规定缴纳的所得税、提取的专用结余以及转入非财政拨款结余的金额等。</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八、年末结转和结余：</w:t>
      </w:r>
      <w:r>
        <w:rPr>
          <w:rFonts w:ascii="FangSong_GB2312" w:eastAsia="FangSong_GB2312" w:hAnsi="FangSong_GB2312" w:cs="FangSong_GB2312"/>
          <w:spacing w:val="0"/>
          <w:kern w:val="0"/>
          <w:sz w:val="32"/>
          <w:szCs w:val="32"/>
        </w:rPr>
        <w:t>指单位按有关规定结转到下年或以后年度继续使用的资金，或项目已完成等产生的结余资金。</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九、基本支出：</w:t>
      </w:r>
      <w:r>
        <w:rPr>
          <w:rFonts w:ascii="FangSong_GB2312" w:eastAsia="FangSong_GB2312" w:hAnsi="FangSong_GB2312" w:cs="FangSong_GB2312"/>
          <w:spacing w:val="0"/>
          <w:kern w:val="0"/>
          <w:sz w:val="32"/>
          <w:szCs w:val="32"/>
        </w:rPr>
        <w:t>指为保障机构正常运转、完成日常工作任务而发生的人员支出和公用支出。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十、项目支出：</w:t>
      </w:r>
      <w:r>
        <w:rPr>
          <w:rFonts w:ascii="FangSong_GB2312" w:eastAsia="FangSong_GB2312" w:hAnsi="FangSong_GB2312" w:cs="FangSong_GB2312"/>
          <w:spacing w:val="0"/>
          <w:kern w:val="0"/>
          <w:sz w:val="32"/>
          <w:szCs w:val="32"/>
        </w:rPr>
        <w:t>指在基本支出之外为完成特定行政任务和事业发展目标所发生的支出。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十一、经营支出：</w:t>
      </w:r>
      <w:r>
        <w:rPr>
          <w:rFonts w:ascii="FangSong_GB2312" w:eastAsia="FangSong_GB2312" w:hAnsi="FangSong_GB2312" w:cs="FangSong_GB2312"/>
          <w:spacing w:val="0"/>
          <w:kern w:val="0"/>
          <w:sz w:val="32"/>
          <w:szCs w:val="32"/>
        </w:rPr>
        <w:t>指事业单位在专业业务活动及其辅助活动之外开展非独立核算经营活动发生的支出。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十二、“三公”经费：</w:t>
      </w:r>
      <w:r>
        <w:rPr>
          <w:rFonts w:ascii="FangSong_GB2312" w:eastAsia="FangSong_GB2312" w:hAnsi="FangSong_GB2312" w:cs="FangSong_GB2312"/>
          <w:kern w:val="0"/>
          <w:sz w:val="32"/>
          <w:szCs w:val="32"/>
        </w:rPr>
        <w:t>纳入本级财政预决算管理的</w:t>
      </w:r>
      <w:r>
        <w:rPr>
          <w:rFonts w:ascii="FangSong_GB2312" w:eastAsia="FangSong_GB2312" w:hAnsi="FangSong_GB2312" w:cs="FangSong_GB2312"/>
          <w:kern w:val="0"/>
          <w:sz w:val="32"/>
          <w:szCs w:val="32"/>
        </w:rPr>
        <w:t>“</w:t>
      </w:r>
      <w:r>
        <w:rPr>
          <w:rFonts w:ascii="FangSong_GB2312" w:eastAsia="FangSong_GB2312" w:hAnsi="FangSong_GB2312" w:cs="FangSong_GB2312"/>
          <w:kern w:val="0"/>
          <w:sz w:val="32"/>
          <w:szCs w:val="32"/>
        </w:rPr>
        <w:t>三公</w:t>
      </w:r>
      <w:r>
        <w:rPr>
          <w:rFonts w:ascii="FangSong_GB2312" w:eastAsia="FangSong_GB2312" w:hAnsi="FangSong_GB2312" w:cs="FangSong_GB2312"/>
          <w:kern w:val="0"/>
          <w:sz w:val="32"/>
          <w:szCs w:val="32"/>
        </w:rPr>
        <w:t>”</w:t>
      </w:r>
      <w:r>
        <w:rPr>
          <w:rFonts w:ascii="FangSong_GB2312" w:eastAsia="FangSong_GB2312" w:hAnsi="FangSong_GB2312" w:cs="FangSong_GB2312"/>
          <w:kern w:val="0"/>
          <w:sz w:val="32"/>
          <w:szCs w:val="32"/>
        </w:rPr>
        <w:t>经费，是指本级部门用一般公共预算财政拨款安排的因公出国（境）费</w:t>
      </w:r>
      <w:r>
        <w:rPr>
          <w:rFonts w:ascii="FangSong_GB2312" w:eastAsia="FangSong_GB2312" w:hAnsi="FangSong_GB2312" w:cs="FangSong_GB2312"/>
          <w:kern w:val="0"/>
          <w:sz w:val="32"/>
          <w:szCs w:val="32"/>
        </w:rPr>
        <w:t>用</w:t>
      </w:r>
      <w:r>
        <w:rPr>
          <w:rFonts w:ascii="FangSong_GB2312" w:eastAsia="FangSong_GB2312" w:hAnsi="FangSong_GB2312" w:cs="FangSong_GB2312"/>
          <w:kern w:val="0"/>
          <w:sz w:val="32"/>
          <w:szCs w:val="32"/>
        </w:rPr>
        <w:t>、公务用车购置及运行费和公务接待费。其中，因公出国（境）费</w:t>
      </w:r>
      <w:r>
        <w:rPr>
          <w:rFonts w:ascii="FangSong_GB2312" w:eastAsia="FangSong_GB2312" w:hAnsi="FangSong_GB2312" w:cs="FangSong_GB2312"/>
          <w:kern w:val="0"/>
          <w:sz w:val="32"/>
          <w:szCs w:val="32"/>
        </w:rPr>
        <w:t>用</w:t>
      </w:r>
      <w:r>
        <w:rPr>
          <w:rFonts w:ascii="FangSong_GB2312" w:eastAsia="FangSong_GB2312" w:hAnsi="FangSong_GB2312" w:cs="FangSong_GB2312"/>
          <w:kern w:val="0"/>
          <w:sz w:val="32"/>
          <w:szCs w:val="32"/>
        </w:rPr>
        <w:t>反映单位公务出国（境）的国际旅费、国外城市间交通费、住宿费、伙食费、培训费、公杂费等支出；公务用车购置及运行费反映单位公务用车车辆购置支出（含车辆购置税</w:t>
      </w:r>
      <w:r>
        <w:rPr>
          <w:rFonts w:ascii="FangSong_GB2312" w:eastAsia="FangSong_GB2312" w:hAnsi="FangSong_GB2312" w:cs="FangSong_GB2312"/>
          <w:kern w:val="0"/>
          <w:sz w:val="32"/>
          <w:szCs w:val="32"/>
        </w:rPr>
        <w:t>、牌照费</w:t>
      </w:r>
      <w:r>
        <w:rPr>
          <w:rFonts w:ascii="FangSong_GB2312" w:eastAsia="FangSong_GB2312" w:hAnsi="FangSong_GB2312" w:cs="FangSong_GB2312"/>
          <w:kern w:val="0"/>
          <w:sz w:val="32"/>
          <w:szCs w:val="32"/>
        </w:rPr>
        <w:t>）及</w:t>
      </w:r>
      <w:r>
        <w:rPr>
          <w:rFonts w:ascii="FangSong_GB2312" w:eastAsia="FangSong_GB2312" w:hAnsi="FangSong_GB2312" w:cs="FangSong_GB2312"/>
          <w:kern w:val="0"/>
          <w:sz w:val="32"/>
          <w:szCs w:val="32"/>
        </w:rPr>
        <w:t>按规定保留的公务用车</w:t>
      </w:r>
      <w:r>
        <w:rPr>
          <w:rFonts w:ascii="FangSong_GB2312" w:eastAsia="FangSong_GB2312" w:hAnsi="FangSong_GB2312" w:cs="FangSong_GB2312"/>
          <w:kern w:val="0"/>
          <w:sz w:val="32"/>
          <w:szCs w:val="32"/>
        </w:rPr>
        <w:t>燃料费、</w:t>
      </w:r>
      <w:r>
        <w:rPr>
          <w:rFonts w:ascii="FangSong_GB2312" w:eastAsia="FangSong_GB2312" w:hAnsi="FangSong_GB2312" w:cs="FangSong_GB2312"/>
          <w:kern w:val="0"/>
          <w:sz w:val="32"/>
          <w:szCs w:val="32"/>
        </w:rPr>
        <w:t>新能源汽车充电费、</w:t>
      </w:r>
      <w:r>
        <w:rPr>
          <w:rFonts w:ascii="FangSong_GB2312" w:eastAsia="FangSong_GB2312" w:hAnsi="FangSong_GB2312" w:cs="FangSong_GB2312"/>
          <w:kern w:val="0"/>
          <w:sz w:val="32"/>
          <w:szCs w:val="32"/>
        </w:rPr>
        <w:t>维修费、过桥过路费、保险费、安全奖励费用等支出；公务接待费反映单位按规定开支的各类公务接待（含外宾接待）支出。</w:t>
      </w:r>
      <w:r>
        <w:rPr>
          <w:rFonts w:ascii="仿宋" w:eastAsia="仿宋" w:hAnsi="仿宋" w:cs="仿宋"/>
          <w:kern w:val="0"/>
          <w:sz w:val="32"/>
          <w:szCs w:val="32"/>
        </w:rPr>
        <w:t> </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十三、机关运行经费：</w:t>
      </w:r>
      <w:r>
        <w:rPr>
          <w:rFonts w:ascii="FangSong_GB2312" w:eastAsia="FangSong_GB2312" w:hAnsi="FangSong_GB2312" w:cs="FangSong_GB2312"/>
          <w:kern w:val="0"/>
          <w:sz w:val="32"/>
          <w:szCs w:val="32"/>
        </w:rPr>
        <w:t>反映</w:t>
      </w:r>
      <w:r>
        <w:rPr>
          <w:rFonts w:ascii="FangSong_GB2312" w:eastAsia="FangSong_GB2312" w:hAnsi="FangSong_GB2312" w:cs="FangSong_GB2312"/>
          <w:kern w:val="0"/>
          <w:sz w:val="32"/>
          <w:szCs w:val="32"/>
        </w:rPr>
        <w:t>行政单位（含参照公务员法管理的事业单位）</w:t>
      </w:r>
      <w:r>
        <w:rPr>
          <w:rFonts w:ascii="FangSong_GB2312" w:eastAsia="FangSong_GB2312" w:hAnsi="FangSong_GB2312" w:cs="FangSong_GB2312"/>
          <w:kern w:val="0"/>
          <w:sz w:val="32"/>
          <w:szCs w:val="32"/>
        </w:rPr>
        <w:t>财政拨款基本支出中的公用经费支出</w:t>
      </w:r>
      <w:r>
        <w:rPr>
          <w:rFonts w:ascii="FangSong_GB2312" w:eastAsia="FangSong_GB2312" w:hAnsi="FangSong_GB2312" w:cs="FangSong_GB2312"/>
          <w:kern w:val="0"/>
          <w:sz w:val="32"/>
          <w:szCs w:val="32"/>
        </w:rPr>
        <w:t>，包括办公及印刷费、邮电费、差旅费、会议</w:t>
      </w:r>
      <w:r>
        <w:rPr>
          <w:rFonts w:ascii="FangSong_GB2312" w:eastAsia="FangSong_GB2312" w:hAnsi="FangSong_GB2312" w:cs="FangSong_GB2312"/>
          <w:kern w:val="0"/>
          <w:sz w:val="32"/>
          <w:szCs w:val="32"/>
        </w:rPr>
        <w:t>费、福利费、日常维修费、专用材料及一般设备购置费、办公用房水电费、办公用房取暖费、办公用房物业管理费、公务用车运行维护费以及其他费用。</w:t>
      </w:r>
    </w:p>
    <w:p>
      <w:pPr>
        <w:pStyle w:val="MsoNormal"/>
        <w:widowControl/>
        <w:spacing w:before="240" w:after="240"/>
        <w:ind w:firstLine="643"/>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sectPr>
          <w:footerReference w:type="default" r:id="rId22"/>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spacing w:before="240" w:after="2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r>
        <w:rPr>
          <w:rFonts w:ascii="SimSun" w:eastAsia="SimSun" w:hAnsi="SimSun" w:cs="SimSun"/>
          <w:spacing w:val="0"/>
          <w:kern w:val="0"/>
          <w:sz w:val="56"/>
          <w:szCs w:val="56"/>
        </w:rPr>
        <w:t> </w:t>
      </w: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27" w:name="_Toc256000080"/>
      <w:r>
        <w:rPr>
          <w:rFonts w:ascii="SimHei" w:eastAsia="SimHei" w:hAnsi="SimHei" w:cs="SimHei"/>
          <w:b w:val="0"/>
          <w:bCs w:val="0"/>
          <w:spacing w:val="0"/>
          <w:sz w:val="56"/>
          <w:szCs w:val="56"/>
        </w:rPr>
        <w:t>第五部分</w:t>
      </w:r>
      <w:r>
        <w:rPr>
          <w:rFonts w:ascii="SimHei" w:eastAsia="SimHei" w:hAnsi="SimHei" w:cs="SimHei"/>
          <w:b w:val="0"/>
          <w:bCs w:val="0"/>
          <w:spacing w:val="0"/>
          <w:sz w:val="56"/>
          <w:szCs w:val="56"/>
        </w:rPr>
        <w:br/>
      </w:r>
      <w:r>
        <w:rPr>
          <w:rFonts w:ascii="SimHei" w:eastAsia="SimHei" w:hAnsi="SimHei" w:cs="SimHei"/>
          <w:b w:val="0"/>
          <w:bCs w:val="0"/>
          <w:spacing w:val="0"/>
          <w:sz w:val="56"/>
          <w:szCs w:val="56"/>
        </w:rPr>
        <w:t>附件</w:t>
      </w:r>
      <w:bookmarkEnd w:id="27"/>
    </w:p>
    <w:p>
      <w:pPr>
        <w:pStyle w:val="MsoNormal"/>
        <w:widowControl/>
        <w:spacing w:before="100" w:after="100"/>
        <w:ind w:left="100" w:right="100" w:firstLine="0"/>
        <w:jc w:val="center"/>
        <w:rPr>
          <w:rFonts w:ascii="Times New Roman" w:eastAsia="Times New Roman" w:hAnsi="Times New Roman" w:cs="Times New Roman"/>
          <w:kern w:val="0"/>
          <w:sz w:val="24"/>
        </w:rPr>
      </w:pPr>
    </w:p>
    <w:p>
      <w:pPr>
        <w:sectPr>
          <w:footerReference w:type="default" r:id="rId23"/>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spacing w:before="240" w:after="240"/>
        <w:jc w:val="left"/>
        <w:rPr>
          <w:rFonts w:ascii="Times New Roman" w:eastAsia="Times New Roman" w:hAnsi="Times New Roman" w:cs="Times New Roman"/>
          <w:kern w:val="0"/>
          <w:sz w:val="24"/>
        </w:rPr>
      </w:pPr>
    </w:p>
    <w:p>
      <w:pPr>
        <w:pStyle w:val="15"/>
        <w:widowControl/>
        <w:spacing w:before="240" w:after="240" w:line="560" w:lineRule="atLeast"/>
        <w:ind w:firstLine="640"/>
        <w:jc w:val="left"/>
        <w:rPr>
          <w:rFonts w:ascii="Times New Roman" w:eastAsia="Times New Roman" w:hAnsi="Times New Roman" w:cs="Times New Roman"/>
          <w:kern w:val="0"/>
          <w:sz w:val="24"/>
        </w:rPr>
      </w:pPr>
      <w:r>
        <w:rPr>
          <w:rFonts w:ascii="SimHei" w:eastAsia="SimHei" w:hAnsi="SimHei" w:cs="SimHei"/>
          <w:kern w:val="0"/>
          <w:sz w:val="32"/>
          <w:szCs w:val="32"/>
        </w:rPr>
        <w:t>一、《项目支出绩效自评表》</w:t>
      </w:r>
    </w:p>
    <w:p>
      <w:pPr>
        <w:pStyle w:val="MsoNormal"/>
        <w:widowControl/>
        <w:spacing w:before="240" w:after="240"/>
        <w:jc w:val="center"/>
        <w:rPr>
          <w:rFonts w:ascii="Times New Roman" w:eastAsia="Times New Roman" w:hAnsi="Times New Roman" w:cs="Times New Roman"/>
          <w:kern w:val="0"/>
          <w:sz w:val="24"/>
        </w:rPr>
      </w:pPr>
      <w:r>
        <w:rPr>
          <w:rFonts w:ascii="SimSun" w:eastAsia="SimSun" w:hAnsi="SimSun" w:cs="SimSun"/>
          <w:b/>
          <w:bCs/>
          <w:kern w:val="0"/>
          <w:sz w:val="32"/>
          <w:szCs w:val="32"/>
        </w:rPr>
        <w:t>项目支出绩效自评表</w:t>
      </w:r>
    </w:p>
    <w:p>
      <w:pPr>
        <w:pStyle w:val="MsoNormal"/>
        <w:widowControl/>
        <w:spacing w:before="240" w:after="240"/>
        <w:jc w:val="center"/>
        <w:rPr>
          <w:rFonts w:ascii="Times New Roman" w:eastAsia="Times New Roman" w:hAnsi="Times New Roman" w:cs="Times New Roman"/>
          <w:kern w:val="0"/>
          <w:sz w:val="24"/>
        </w:rPr>
      </w:pPr>
      <w:r>
        <w:rPr>
          <w:rFonts w:ascii="SimSun" w:eastAsia="SimSun" w:hAnsi="SimSun" w:cs="SimSun"/>
          <w:kern w:val="0"/>
          <w:sz w:val="22"/>
          <w:szCs w:val="22"/>
        </w:rPr>
        <w:t>（2025年度）</w:t>
      </w:r>
    </w:p>
    <w:p>
      <w:pPr>
        <w:pageBreakBefore/>
      </w:pPr>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834"/>
        <w:gridCol w:w="834"/>
        <w:gridCol w:w="834"/>
        <w:gridCol w:w="834"/>
        <w:gridCol w:w="833"/>
        <w:gridCol w:w="833"/>
        <w:gridCol w:w="833"/>
        <w:gridCol w:w="833"/>
        <w:gridCol w:w="833"/>
        <w:gridCol w:w="833"/>
        <w:gridCol w:w="833"/>
        <w:gridCol w:w="833"/>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sz w:val="24"/>
              </w:rPr>
              <w:t>（2025年度）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sz w:val="24"/>
              </w:rPr>
              <w:t>2025年中央少数民族发展任务资金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三明市三元区人民政府徐碧街道办事处</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三明市三元区人民政府徐碧街道办事处</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2025年中央少数民族发展任务资金（洋山畲族村台湾黄花萱草种植项目（四期）、洋山畲族村台湾黄花萱草基地灌溉系统建设项目）</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用于洋山畲族村台湾黄花萱草种植项目（四期）、洋山畲族村台湾黄花萱草基地灌溉系统建设项目</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1916"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1916"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1916"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1916"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1916"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洋山畲族村黄花萱草种植项目和基地灌溉系统建设正常进行，满足黄花萱草种植的条件，确保项目正常完工。</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洋山畲族村台湾黄花萱草种植项目（四期）、洋山畲族村台湾黄花萱草基地灌溉系统建设项目已顺利完工，资金已拨付</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1916"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黄花萱草种植项目和基地灌溉系统建设工程量完成率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1916" w:type="dxa"/>
            <w:vMerge/>
            <w:tcMar>
              <w:left w:w="108" w:type="dxa"/>
              <w:right w:w="108" w:type="dxa"/>
            </w:tcMar>
          </w:tcPr>
          <w:p/>
        </w:tc>
        <w:tc>
          <w:tcPr>
            <w:tcW w:w="272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黄花萱草种植项目和基地灌溉系统建设资金使用合规率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1916" w:type="dxa"/>
            <w:vMerge/>
            <w:tcMar>
              <w:left w:w="108" w:type="dxa"/>
              <w:right w:w="108" w:type="dxa"/>
            </w:tcMar>
          </w:tcPr>
          <w:p/>
        </w:tc>
        <w:tc>
          <w:tcPr>
            <w:tcW w:w="272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黄花萱草种植项目和基地灌溉系统建设资金到位及时率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1916"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黄花萱草种植项目和基地灌溉系统建设资金实际支出率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1916"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环境满意率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1916"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评价等级</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bl>
    <w:p/>
    <w:p>
      <w:pPr>
        <w:pStyle w:val="MsoNormal"/>
        <w:widowControl/>
        <w:spacing w:before="240" w:after="240"/>
        <w:jc w:val="left"/>
        <w:rPr>
          <w:rFonts w:ascii="Times New Roman" w:eastAsia="Times New Roman" w:hAnsi="Times New Roman" w:cs="Times New Roman"/>
          <w:kern w:val="0"/>
          <w:sz w:val="24"/>
        </w:rPr>
      </w:pPr>
    </w:p>
    <w:p>
      <w:pPr>
        <w:pStyle w:val="15"/>
        <w:widowControl/>
        <w:spacing w:before="240" w:after="240" w:line="560" w:lineRule="atLeast"/>
        <w:ind w:firstLine="640"/>
        <w:jc w:val="left"/>
        <w:rPr>
          <w:rFonts w:ascii="Times New Roman" w:eastAsia="Times New Roman" w:hAnsi="Times New Roman" w:cs="Times New Roman"/>
          <w:kern w:val="0"/>
          <w:sz w:val="24"/>
        </w:rPr>
      </w:pPr>
      <w:r>
        <w:rPr>
          <w:rFonts w:ascii="SimHei" w:eastAsia="SimHei" w:hAnsi="SimHei" w:cs="SimHei"/>
          <w:kern w:val="0"/>
          <w:sz w:val="32"/>
          <w:szCs w:val="32"/>
        </w:rPr>
        <w:t>二、《项目支出绩效评价报告》</w:t>
      </w:r>
    </w:p>
    <w:p w:rsidR="000F778B" w14:paraId="2C0CE379" w14:textId="77777777">
      <w:pPr>
        <w:rPr>
          <w:rFonts w:ascii="仿宋" w:eastAsia="仿宋" w:hAnsi="仿宋"/>
          <w:sz w:val="28"/>
          <w:szCs w:val="32"/>
        </w:rPr>
      </w:pPr>
      <w:r>
        <w:rPr>
          <w:rFonts w:ascii="仿宋" w:eastAsia="仿宋" w:hAnsi="仿宋" w:hint="eastAsia"/>
          <w:sz w:val="28"/>
          <w:szCs w:val="32"/>
        </w:rPr>
        <w:t>附件4</w:t>
      </w:r>
    </w:p>
    <w:p w:rsidR="000F778B" w14:paraId="057F56ED" w14:textId="77777777">
      <w:pPr>
        <w:rPr>
          <w:rFonts w:ascii="仿宋" w:eastAsia="仿宋" w:hAnsi="仿宋"/>
          <w:sz w:val="32"/>
          <w:szCs w:val="32"/>
        </w:rPr>
      </w:pPr>
    </w:p>
    <w:p w:rsidR="000F778B" w14:paraId="01367DE5" w14:textId="219BB5F9">
      <w:pPr>
        <w:ind w:firstLine="420"/>
        <w:jc w:val="center"/>
        <w:rPr>
          <w:rFonts w:ascii="宋体" w:hAnsi="宋体" w:cs="仿宋"/>
          <w:b/>
          <w:sz w:val="44"/>
          <w:szCs w:val="44"/>
        </w:rPr>
      </w:pPr>
      <w:r>
        <w:rPr>
          <w:rFonts w:ascii="宋体" w:hAnsi="宋体" w:cs="仿宋" w:hint="eastAsia"/>
          <w:b/>
          <w:sz w:val="44"/>
          <w:szCs w:val="44"/>
        </w:rPr>
        <w:t>2025</w:t>
      </w:r>
      <w:r>
        <w:rPr>
          <w:rFonts w:ascii="宋体" w:hAnsi="宋体" w:cs="仿宋" w:hint="eastAsia"/>
          <w:b/>
          <w:sz w:val="44"/>
          <w:szCs w:val="44"/>
        </w:rPr>
        <w:t>年度</w:t>
      </w:r>
      <w:r>
        <w:rPr>
          <w:rFonts w:ascii="宋体" w:eastAsia="宋体" w:hAnsi="宋体" w:cs="宋体"/>
          <w:b/>
          <w:sz w:val="44"/>
        </w:rPr>
        <w:t>区级</w:t>
      </w:r>
      <w:r>
        <w:rPr>
          <w:rFonts w:ascii="宋体" w:eastAsia="宋体" w:hAnsi="宋体" w:cs="宋体"/>
          <w:b/>
          <w:sz w:val="44"/>
        </w:rPr>
        <w:t>预算项目绩效自评报告</w:t>
      </w:r>
    </w:p>
    <w:p w:rsidR="000F778B" w14:paraId="22886BB9" w14:textId="77777777">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2025年中央少数民族发展任务资金</w:t>
      </w:r>
      <w:r>
        <w:rPr>
          <w:rFonts w:ascii="仿宋" w:eastAsia="仿宋" w:hAnsi="仿宋" w:hint="eastAsia"/>
          <w:sz w:val="32"/>
          <w:szCs w:val="32"/>
        </w:rPr>
        <w:t>）</w:t>
      </w:r>
    </w:p>
    <w:p w:rsidR="000F778B" w14:paraId="66994E28" w14:textId="77777777">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rsidR="000F778B" w14:paraId="2258317B" w14:textId="77777777">
      <w:pPr>
        <w:ind w:firstLine="640" w:firstLineChars="200"/>
        <w:rPr>
          <w:rFonts w:ascii="仿宋" w:eastAsia="仿宋" w:hAnsi="仿宋"/>
          <w:sz w:val="32"/>
          <w:szCs w:val="32"/>
        </w:rPr>
      </w:pPr>
      <w:r>
        <w:rPr>
          <w:rFonts w:ascii="仿宋" w:eastAsia="仿宋" w:hAnsi="仿宋" w:hint="eastAsia"/>
          <w:b/>
          <w:sz w:val="32"/>
          <w:szCs w:val="32"/>
        </w:rPr>
        <w:t>（一）项目概况</w:t>
      </w:r>
    </w:p>
    <w:p w:rsidR="000F778B" w14:paraId="2C6F0EDB" w14:textId="77777777">
      <w:pPr>
        <w:ind w:firstLine="1472" w:firstLineChars="460"/>
        <w:rPr>
          <w:rFonts w:ascii="仿宋" w:eastAsia="仿宋" w:hAnsi="仿宋"/>
          <w:sz w:val="32"/>
          <w:szCs w:val="32"/>
        </w:rPr>
      </w:pPr>
      <w:r>
        <w:rPr>
          <w:rFonts w:ascii="仿宋" w:eastAsia="仿宋" w:hAnsi="仿宋" w:hint="eastAsia"/>
          <w:sz w:val="32"/>
          <w:szCs w:val="32"/>
        </w:rPr>
        <w:t>2025年中央少数民族发展任务资金（洋山畲族村台湾黄花萱草种植项目（四期）、洋山畲族村台湾黄花萱草基地灌溉系统建设项目）</w:t>
      </w:r>
      <w:r>
        <w:rPr>
          <w:rFonts w:ascii="仿宋" w:eastAsia="仿宋" w:hAnsi="仿宋" w:cs="仿宋"/>
          <w:sz w:val="32"/>
        </w:rPr>
        <w:t xml:space="preserve"> </w:t>
      </w:r>
    </w:p>
    <w:p w:rsidR="000F778B" w14:paraId="3B99B2DD" w14:textId="77777777">
      <w:pPr>
        <w:ind w:firstLine="640" w:firstLineChars="200"/>
        <w:rPr>
          <w:rFonts w:ascii="仿宋" w:eastAsia="仿宋" w:hAnsi="仿宋"/>
          <w:sz w:val="32"/>
          <w:szCs w:val="32"/>
        </w:rPr>
      </w:pPr>
      <w:r>
        <w:rPr>
          <w:rFonts w:ascii="仿宋" w:eastAsia="仿宋" w:hAnsi="仿宋" w:hint="eastAsia"/>
          <w:b/>
          <w:sz w:val="32"/>
          <w:szCs w:val="32"/>
        </w:rPr>
        <w:t>（二）主要成效</w:t>
      </w:r>
    </w:p>
    <w:p w:rsidR="000F778B" w14:paraId="126F90D2" w14:textId="77777777">
      <w:pPr>
        <w:ind w:firstLine="1472" w:firstLineChars="460"/>
        <w:rPr>
          <w:rFonts w:ascii="仿宋" w:eastAsia="仿宋" w:hAnsi="仿宋"/>
          <w:sz w:val="32"/>
          <w:szCs w:val="32"/>
        </w:rPr>
      </w:pPr>
      <w:r>
        <w:rPr>
          <w:rFonts w:ascii="仿宋" w:eastAsia="仿宋" w:hAnsi="仿宋" w:hint="eastAsia"/>
          <w:sz w:val="32"/>
          <w:szCs w:val="32"/>
        </w:rPr>
        <w:t>用于洋山畲族村台湾黄花萱草种植项目（四期）、洋山畲族村台湾黄花萱草基地灌溉系统建设项目</w:t>
      </w:r>
    </w:p>
    <w:p w:rsidR="000F778B" w14:paraId="5D13752B" w14:textId="77777777">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rsidR="000F778B" w14:paraId="4E82EB41" w14:textId="77777777">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w:t>
      </w:r>
      <w:r>
        <w:rPr>
          <w:rFonts w:ascii="仿宋_GB2312" w:eastAsia="仿宋_GB2312" w:hAnsi="仿宋_GB2312" w:cs="仿宋_GB2312"/>
          <w:sz w:val="32"/>
        </w:rPr>
        <w:t>分，等级为</w:t>
      </w:r>
      <w:r>
        <w:rPr>
          <w:rFonts w:ascii="仿宋_GB2312" w:eastAsia="仿宋_GB2312" w:hAnsi="仿宋_GB2312" w:cs="仿宋_GB2312"/>
          <w:sz w:val="32"/>
        </w:rPr>
        <w:t>优</w:t>
      </w:r>
      <w:r>
        <w:rPr>
          <w:rFonts w:ascii="仿宋_GB2312" w:eastAsia="仿宋_GB2312" w:hAnsi="仿宋_GB2312" w:cs="仿宋_GB2312"/>
          <w:sz w:val="32"/>
        </w:rPr>
        <w:t>，设置绩效目标</w:t>
      </w:r>
      <w:r>
        <w:rPr>
          <w:rFonts w:ascii="仿宋_GB2312" w:eastAsia="仿宋_GB2312" w:hAnsi="仿宋_GB2312" w:cs="仿宋_GB2312"/>
          <w:sz w:val="32"/>
        </w:rPr>
        <w:t>6</w:t>
      </w:r>
      <w:r>
        <w:rPr>
          <w:rFonts w:ascii="仿宋_GB2312" w:eastAsia="仿宋_GB2312" w:hAnsi="仿宋_GB2312" w:cs="仿宋_GB2312"/>
          <w:sz w:val="32"/>
        </w:rPr>
        <w:t>个，实际完成</w:t>
      </w:r>
      <w:r>
        <w:rPr>
          <w:rFonts w:ascii="仿宋_GB2312" w:eastAsia="仿宋_GB2312" w:hAnsi="仿宋_GB2312" w:cs="仿宋_GB2312"/>
          <w:sz w:val="32"/>
        </w:rPr>
        <w:t>6</w:t>
      </w:r>
      <w:r>
        <w:rPr>
          <w:rFonts w:ascii="仿宋_GB2312" w:eastAsia="仿宋_GB2312" w:hAnsi="仿宋_GB2312" w:cs="仿宋_GB2312"/>
          <w:sz w:val="32"/>
        </w:rPr>
        <w:t>个，具体情况如下：</w:t>
      </w:r>
    </w:p>
    <w:p w:rsidR="000F778B" w14:paraId="70903495" w14:textId="77777777">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rsidR="000F778B" w14:paraId="673E2D3D" w14:textId="77777777">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rsidR="000F778B" w14:paraId="575A79C4" w14:textId="77777777">
      <w:pPr>
        <w:spacing w:line="620" w:lineRule="exact"/>
        <w:ind w:left="420" w:leftChars="200"/>
        <w:rPr>
          <w:rFonts w:ascii="仿宋" w:eastAsia="仿宋" w:hAnsi="仿宋"/>
          <w:sz w:val="32"/>
          <w:szCs w:val="32"/>
        </w:rPr>
      </w:pPr>
      <w:r>
        <w:rPr>
          <w:rFonts w:ascii="仿宋_GB2312" w:eastAsia="仿宋_GB2312" w:hAnsi="仿宋_GB2312" w:cs="仿宋_GB2312"/>
          <w:sz w:val="32"/>
        </w:rPr>
        <w:t>1)黄花萱草种植项目和基地灌溉系统建设资金实际支出率</w:t>
      </w:r>
      <w:r>
        <w:rPr>
          <w:rFonts w:ascii="仿宋" w:eastAsia="仿宋" w:hAnsi="仿宋" w:cs="仿宋"/>
          <w:sz w:val="32"/>
        </w:rPr>
        <w:t>(</w:t>
      </w:r>
      <w:r>
        <w:rPr>
          <w:rFonts w:ascii="仿宋" w:eastAsia="仿宋" w:hAnsi="仿宋" w:cs="仿宋"/>
          <w:sz w:val="32"/>
        </w:rPr>
        <w:t>%</w:t>
      </w:r>
      <w:r>
        <w:rPr>
          <w:rFonts w:ascii="仿宋" w:eastAsia="仿宋" w:hAnsi="仿宋" w:cs="仿宋"/>
          <w:sz w:val="32"/>
        </w:rPr>
        <w:t>)，目标值</w:t>
      </w:r>
      <w:r>
        <w:rPr>
          <w:rFonts w:ascii="仿宋" w:eastAsia="仿宋" w:hAnsi="仿宋" w:cs="仿宋"/>
          <w:sz w:val="32"/>
        </w:rPr>
        <w:t>100</w:t>
      </w:r>
      <w:r>
        <w:rPr>
          <w:rFonts w:ascii="仿宋" w:eastAsia="仿宋" w:hAnsi="仿宋" w:cs="仿宋"/>
          <w:sz w:val="32"/>
        </w:rPr>
        <w:t>，完成值</w:t>
      </w:r>
      <w:r>
        <w:rPr>
          <w:rFonts w:ascii="仿宋" w:eastAsia="仿宋" w:hAnsi="仿宋" w:cs="仿宋"/>
          <w:sz w:val="32"/>
        </w:rPr>
        <w:t>100</w:t>
      </w:r>
      <w:r>
        <w:rPr>
          <w:rFonts w:ascii="仿宋" w:eastAsia="仿宋" w:hAnsi="仿宋" w:cs="仿宋"/>
          <w:sz w:val="32"/>
        </w:rPr>
        <w:t>，分值</w:t>
      </w:r>
      <w:r>
        <w:rPr>
          <w:rFonts w:ascii="仿宋" w:eastAsia="仿宋" w:hAnsi="仿宋" w:cs="仿宋"/>
          <w:sz w:val="32"/>
        </w:rPr>
        <w:t>10</w:t>
      </w:r>
      <w:r>
        <w:rPr>
          <w:rFonts w:ascii="仿宋" w:eastAsia="仿宋" w:hAnsi="仿宋" w:cs="仿宋"/>
          <w:sz w:val="32"/>
        </w:rPr>
        <w:t>，得分</w:t>
      </w:r>
      <w:r>
        <w:rPr>
          <w:rFonts w:ascii="仿宋" w:eastAsia="仿宋" w:hAnsi="仿宋" w:cs="仿宋"/>
          <w:sz w:val="32"/>
        </w:rPr>
        <w:t>10</w:t>
      </w:r>
      <w:r>
        <w:rPr>
          <w:rFonts w:ascii="仿宋" w:eastAsia="仿宋" w:hAnsi="仿宋" w:hint="eastAsia"/>
          <w:sz w:val="32"/>
          <w:szCs w:val="32"/>
        </w:rPr>
        <w:t>。</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sz w:val="32"/>
        </w:rPr>
        <w:t>1)黄花萱草种植项目和基地灌溉系统建设工程量完成率</w:t>
      </w:r>
      <w:r>
        <w:rPr>
          <w:rFonts w:ascii="仿宋" w:eastAsia="仿宋" w:hAnsi="仿宋" w:cs="仿宋"/>
          <w:sz w:val="32"/>
        </w:rPr>
        <w:t>(</w:t>
      </w:r>
      <w:r>
        <w:rPr>
          <w:rFonts w:ascii="仿宋" w:eastAsia="仿宋" w:hAnsi="仿宋" w:cs="仿宋"/>
          <w:sz w:val="32"/>
        </w:rPr>
        <w:t>%</w:t>
      </w:r>
      <w:r>
        <w:rPr>
          <w:rFonts w:ascii="仿宋" w:eastAsia="仿宋" w:hAnsi="仿宋" w:cs="仿宋"/>
          <w:sz w:val="32"/>
        </w:rPr>
        <w:t>)，目标值</w:t>
      </w:r>
      <w:r>
        <w:rPr>
          <w:rFonts w:ascii="仿宋" w:eastAsia="仿宋" w:hAnsi="仿宋" w:cs="仿宋"/>
          <w:sz w:val="32"/>
        </w:rPr>
        <w:t>100</w:t>
      </w:r>
      <w:r>
        <w:rPr>
          <w:rFonts w:ascii="仿宋" w:eastAsia="仿宋" w:hAnsi="仿宋" w:cs="仿宋"/>
          <w:sz w:val="32"/>
        </w:rPr>
        <w:t>，完成值</w:t>
      </w:r>
      <w:r>
        <w:rPr>
          <w:rFonts w:ascii="仿宋" w:eastAsia="仿宋" w:hAnsi="仿宋" w:cs="仿宋"/>
          <w:sz w:val="32"/>
        </w:rPr>
        <w:t>100</w:t>
      </w:r>
      <w:r>
        <w:rPr>
          <w:rFonts w:ascii="仿宋" w:eastAsia="仿宋" w:hAnsi="仿宋" w:cs="仿宋"/>
          <w:sz w:val="32"/>
        </w:rPr>
        <w:t>，分值</w:t>
      </w:r>
      <w:r>
        <w:rPr>
          <w:rFonts w:ascii="仿宋" w:eastAsia="仿宋" w:hAnsi="仿宋" w:cs="仿宋"/>
          <w:sz w:val="32"/>
        </w:rPr>
        <w:t>20</w:t>
      </w:r>
      <w:r>
        <w:rPr>
          <w:rFonts w:ascii="仿宋" w:eastAsia="仿宋" w:hAnsi="仿宋" w:cs="仿宋"/>
          <w:sz w:val="32"/>
        </w:rPr>
        <w:t>，得分</w:t>
      </w:r>
      <w:r>
        <w:rPr>
          <w:rFonts w:ascii="仿宋" w:eastAsia="仿宋" w:hAnsi="仿宋" w:cs="仿宋"/>
          <w:sz w:val="32"/>
        </w:rPr>
        <w:t>20</w:t>
      </w:r>
      <w:r>
        <w:rPr>
          <w:rFonts w:ascii="仿宋" w:eastAsia="仿宋" w:hAnsi="仿宋" w:hint="eastAsia"/>
          <w:sz w:val="32"/>
          <w:szCs w:val="32"/>
        </w:rPr>
        <w:t>。</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sz w:val="32"/>
        </w:rPr>
        <w:t>1)黄花萱草种植项目和基地灌溉系统建设资金使用合规率</w:t>
      </w:r>
      <w:r>
        <w:rPr>
          <w:rFonts w:ascii="仿宋" w:eastAsia="仿宋" w:hAnsi="仿宋" w:cs="仿宋"/>
          <w:sz w:val="32"/>
        </w:rPr>
        <w:t>(</w:t>
      </w:r>
      <w:r>
        <w:rPr>
          <w:rFonts w:ascii="仿宋" w:eastAsia="仿宋" w:hAnsi="仿宋" w:cs="仿宋"/>
          <w:sz w:val="32"/>
        </w:rPr>
        <w:t>%</w:t>
      </w:r>
      <w:r>
        <w:rPr>
          <w:rFonts w:ascii="仿宋" w:eastAsia="仿宋" w:hAnsi="仿宋" w:cs="仿宋"/>
          <w:sz w:val="32"/>
        </w:rPr>
        <w:t>)，目标值</w:t>
      </w:r>
      <w:r>
        <w:rPr>
          <w:rFonts w:ascii="仿宋" w:eastAsia="仿宋" w:hAnsi="仿宋" w:cs="仿宋"/>
          <w:sz w:val="32"/>
        </w:rPr>
        <w:t>100</w:t>
      </w:r>
      <w:r>
        <w:rPr>
          <w:rFonts w:ascii="仿宋" w:eastAsia="仿宋" w:hAnsi="仿宋" w:cs="仿宋"/>
          <w:sz w:val="32"/>
        </w:rPr>
        <w:t>，完成值</w:t>
      </w:r>
      <w:r>
        <w:rPr>
          <w:rFonts w:ascii="仿宋" w:eastAsia="仿宋" w:hAnsi="仿宋" w:cs="仿宋"/>
          <w:sz w:val="32"/>
        </w:rPr>
        <w:t>100</w:t>
      </w:r>
      <w:r>
        <w:rPr>
          <w:rFonts w:ascii="仿宋" w:eastAsia="仿宋" w:hAnsi="仿宋" w:cs="仿宋"/>
          <w:sz w:val="32"/>
        </w:rPr>
        <w:t>，分值</w:t>
      </w:r>
      <w:r>
        <w:rPr>
          <w:rFonts w:ascii="仿宋" w:eastAsia="仿宋" w:hAnsi="仿宋" w:cs="仿宋"/>
          <w:sz w:val="32"/>
        </w:rPr>
        <w:t>10</w:t>
      </w:r>
      <w:r>
        <w:rPr>
          <w:rFonts w:ascii="仿宋" w:eastAsia="仿宋" w:hAnsi="仿宋" w:cs="仿宋"/>
          <w:sz w:val="32"/>
        </w:rPr>
        <w:t>，得分</w:t>
      </w:r>
      <w:r>
        <w:rPr>
          <w:rFonts w:ascii="仿宋" w:eastAsia="仿宋" w:hAnsi="仿宋" w:cs="仿宋"/>
          <w:sz w:val="32"/>
        </w:rPr>
        <w:t>10</w:t>
      </w:r>
      <w:r>
        <w:rPr>
          <w:rFonts w:ascii="仿宋" w:eastAsia="仿宋" w:hAnsi="仿宋" w:hint="eastAsia"/>
          <w:sz w:val="32"/>
          <w:szCs w:val="32"/>
        </w:rPr>
        <w:t>。</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sz w:val="32"/>
        </w:rPr>
        <w:t>1)黄花萱草种植项目和基地灌溉系统建设资金到位及时率</w:t>
      </w:r>
      <w:r>
        <w:rPr>
          <w:rFonts w:ascii="仿宋" w:eastAsia="仿宋" w:hAnsi="仿宋" w:cs="仿宋"/>
          <w:sz w:val="32"/>
        </w:rPr>
        <w:t>(</w:t>
      </w:r>
      <w:r>
        <w:rPr>
          <w:rFonts w:ascii="仿宋" w:eastAsia="仿宋" w:hAnsi="仿宋" w:cs="仿宋"/>
          <w:sz w:val="32"/>
        </w:rPr>
        <w:t>%</w:t>
      </w:r>
      <w:r>
        <w:rPr>
          <w:rFonts w:ascii="仿宋" w:eastAsia="仿宋" w:hAnsi="仿宋" w:cs="仿宋"/>
          <w:sz w:val="32"/>
        </w:rPr>
        <w:t>)，目标值</w:t>
      </w:r>
      <w:r>
        <w:rPr>
          <w:rFonts w:ascii="仿宋" w:eastAsia="仿宋" w:hAnsi="仿宋" w:cs="仿宋"/>
          <w:sz w:val="32"/>
        </w:rPr>
        <w:t>100</w:t>
      </w:r>
      <w:r>
        <w:rPr>
          <w:rFonts w:ascii="仿宋" w:eastAsia="仿宋" w:hAnsi="仿宋" w:cs="仿宋"/>
          <w:sz w:val="32"/>
        </w:rPr>
        <w:t>，完成值</w:t>
      </w:r>
      <w:r>
        <w:rPr>
          <w:rFonts w:ascii="仿宋" w:eastAsia="仿宋" w:hAnsi="仿宋" w:cs="仿宋"/>
          <w:sz w:val="32"/>
        </w:rPr>
        <w:t>100</w:t>
      </w:r>
      <w:r>
        <w:rPr>
          <w:rFonts w:ascii="仿宋" w:eastAsia="仿宋" w:hAnsi="仿宋" w:cs="仿宋"/>
          <w:sz w:val="32"/>
        </w:rPr>
        <w:t>，分值</w:t>
      </w:r>
      <w:r>
        <w:rPr>
          <w:rFonts w:ascii="仿宋" w:eastAsia="仿宋" w:hAnsi="仿宋" w:cs="仿宋"/>
          <w:sz w:val="32"/>
        </w:rPr>
        <w:t>10</w:t>
      </w:r>
      <w:r>
        <w:rPr>
          <w:rFonts w:ascii="仿宋" w:eastAsia="仿宋" w:hAnsi="仿宋" w:cs="仿宋"/>
          <w:sz w:val="32"/>
        </w:rPr>
        <w:t>，得分</w:t>
      </w:r>
      <w:r>
        <w:rPr>
          <w:rFonts w:ascii="仿宋" w:eastAsia="仿宋" w:hAnsi="仿宋" w:cs="仿宋"/>
          <w:sz w:val="32"/>
        </w:rPr>
        <w:t>10</w:t>
      </w:r>
      <w:r>
        <w:rPr>
          <w:rFonts w:ascii="仿宋" w:eastAsia="仿宋" w:hAnsi="仿宋" w:hint="eastAsia"/>
          <w:sz w:val="32"/>
          <w:szCs w:val="32"/>
        </w:rPr>
        <w:t>。</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sz w:val="32"/>
        </w:rPr>
        <w:t>1)环境满意率</w:t>
      </w:r>
      <w:r>
        <w:rPr>
          <w:rFonts w:ascii="仿宋" w:eastAsia="仿宋" w:hAnsi="仿宋" w:cs="仿宋"/>
          <w:sz w:val="32"/>
        </w:rPr>
        <w:t>(</w:t>
      </w:r>
      <w:r>
        <w:rPr>
          <w:rFonts w:ascii="仿宋" w:eastAsia="仿宋" w:hAnsi="仿宋" w:cs="仿宋"/>
          <w:sz w:val="32"/>
        </w:rPr>
        <w:t>%</w:t>
      </w:r>
      <w:r>
        <w:rPr>
          <w:rFonts w:ascii="仿宋" w:eastAsia="仿宋" w:hAnsi="仿宋" w:cs="仿宋"/>
          <w:sz w:val="32"/>
        </w:rPr>
        <w:t>)，目标值</w:t>
      </w:r>
      <w:r>
        <w:rPr>
          <w:rFonts w:ascii="仿宋" w:eastAsia="仿宋" w:hAnsi="仿宋" w:cs="仿宋"/>
          <w:sz w:val="32"/>
        </w:rPr>
        <w:t>90</w:t>
      </w:r>
      <w:r>
        <w:rPr>
          <w:rFonts w:ascii="仿宋" w:eastAsia="仿宋" w:hAnsi="仿宋" w:cs="仿宋"/>
          <w:sz w:val="32"/>
        </w:rPr>
        <w:t>，完成值</w:t>
      </w:r>
      <w:r>
        <w:rPr>
          <w:rFonts w:ascii="仿宋" w:eastAsia="仿宋" w:hAnsi="仿宋" w:cs="仿宋"/>
          <w:sz w:val="32"/>
        </w:rPr>
        <w:t>95</w:t>
      </w:r>
      <w:r>
        <w:rPr>
          <w:rFonts w:ascii="仿宋" w:eastAsia="仿宋" w:hAnsi="仿宋" w:cs="仿宋"/>
          <w:sz w:val="32"/>
        </w:rPr>
        <w:t>，分值</w:t>
      </w:r>
      <w:r>
        <w:rPr>
          <w:rFonts w:ascii="仿宋" w:eastAsia="仿宋" w:hAnsi="仿宋" w:cs="仿宋"/>
          <w:sz w:val="32"/>
        </w:rPr>
        <w:t>30</w:t>
      </w:r>
      <w:r>
        <w:rPr>
          <w:rFonts w:ascii="仿宋" w:eastAsia="仿宋" w:hAnsi="仿宋" w:cs="仿宋"/>
          <w:sz w:val="32"/>
        </w:rPr>
        <w:t>，得分</w:t>
      </w:r>
      <w:r>
        <w:rPr>
          <w:rFonts w:ascii="仿宋" w:eastAsia="仿宋" w:hAnsi="仿宋" w:cs="仿宋"/>
          <w:sz w:val="32"/>
        </w:rPr>
        <w:t>30</w:t>
      </w:r>
      <w:r>
        <w:rPr>
          <w:rFonts w:ascii="仿宋" w:eastAsia="仿宋" w:hAnsi="仿宋" w:hint="eastAsia"/>
          <w:sz w:val="32"/>
          <w:szCs w:val="32"/>
        </w:rPr>
        <w:t>。</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rsidR="000F778B" w14:textId="77777777">
      <w:pPr>
        <w:spacing w:line="620" w:lineRule="exact"/>
        <w:ind w:left="420" w:leftChars="200"/>
        <w:rPr>
          <w:rFonts w:ascii="仿宋" w:eastAsia="仿宋" w:hAnsi="仿宋"/>
          <w:sz w:val="32"/>
          <w:szCs w:val="32"/>
        </w:rPr>
      </w:pPr>
      <w:r>
        <w:rPr>
          <w:rFonts w:ascii="仿宋_GB2312" w:eastAsia="仿宋_GB2312" w:hAnsi="仿宋_GB2312" w:cs="仿宋_GB2312"/>
          <w:sz w:val="32"/>
        </w:rPr>
        <w:t>1)服务对象满意率</w:t>
      </w:r>
      <w:r>
        <w:rPr>
          <w:rFonts w:ascii="仿宋" w:eastAsia="仿宋" w:hAnsi="仿宋" w:cs="仿宋"/>
          <w:sz w:val="32"/>
        </w:rPr>
        <w:t>(</w:t>
      </w:r>
      <w:r>
        <w:rPr>
          <w:rFonts w:ascii="仿宋" w:eastAsia="仿宋" w:hAnsi="仿宋" w:cs="仿宋"/>
          <w:sz w:val="32"/>
        </w:rPr>
        <w:t>%</w:t>
      </w:r>
      <w:r>
        <w:rPr>
          <w:rFonts w:ascii="仿宋" w:eastAsia="仿宋" w:hAnsi="仿宋" w:cs="仿宋"/>
          <w:sz w:val="32"/>
        </w:rPr>
        <w:t>)，目标值</w:t>
      </w:r>
      <w:r>
        <w:rPr>
          <w:rFonts w:ascii="仿宋" w:eastAsia="仿宋" w:hAnsi="仿宋" w:cs="仿宋"/>
          <w:sz w:val="32"/>
        </w:rPr>
        <w:t>90</w:t>
      </w:r>
      <w:r>
        <w:rPr>
          <w:rFonts w:ascii="仿宋" w:eastAsia="仿宋" w:hAnsi="仿宋" w:cs="仿宋"/>
          <w:sz w:val="32"/>
        </w:rPr>
        <w:t>，完成值</w:t>
      </w:r>
      <w:r>
        <w:rPr>
          <w:rFonts w:ascii="仿宋" w:eastAsia="仿宋" w:hAnsi="仿宋" w:cs="仿宋"/>
          <w:sz w:val="32"/>
        </w:rPr>
        <w:t>95</w:t>
      </w:r>
      <w:r>
        <w:rPr>
          <w:rFonts w:ascii="仿宋" w:eastAsia="仿宋" w:hAnsi="仿宋" w:cs="仿宋"/>
          <w:sz w:val="32"/>
        </w:rPr>
        <w:t>，分值</w:t>
      </w:r>
      <w:r>
        <w:rPr>
          <w:rFonts w:ascii="仿宋" w:eastAsia="仿宋" w:hAnsi="仿宋" w:cs="仿宋"/>
          <w:sz w:val="32"/>
        </w:rPr>
        <w:t>10</w:t>
      </w:r>
      <w:r>
        <w:rPr>
          <w:rFonts w:ascii="仿宋" w:eastAsia="仿宋" w:hAnsi="仿宋" w:cs="仿宋"/>
          <w:sz w:val="32"/>
        </w:rPr>
        <w:t>，得分</w:t>
      </w:r>
      <w:r>
        <w:rPr>
          <w:rFonts w:ascii="仿宋" w:eastAsia="仿宋" w:hAnsi="仿宋" w:cs="仿宋"/>
          <w:sz w:val="32"/>
        </w:rPr>
        <w:t>10</w:t>
      </w:r>
      <w:r>
        <w:rPr>
          <w:rFonts w:ascii="仿宋" w:eastAsia="仿宋" w:hAnsi="仿宋" w:hint="eastAsia"/>
          <w:sz w:val="32"/>
          <w:szCs w:val="32"/>
        </w:rPr>
        <w:t>。</w:t>
      </w:r>
    </w:p>
    <w:p w:rsidR="000F778B" w14:paraId="4E3A4CAF" w14:textId="77777777">
      <w:pPr>
        <w:tabs>
          <w:tab w:val="left" w:pos="2244"/>
        </w:tabs>
        <w:spacing w:line="620" w:lineRule="exact"/>
        <w:ind w:left="1890" w:leftChars="900"/>
        <w:rPr>
          <w:rFonts w:ascii="仿宋" w:eastAsia="仿宋" w:hAnsi="仿宋"/>
          <w:b/>
          <w:color w:val="FF0000"/>
          <w:sz w:val="32"/>
          <w:szCs w:val="32"/>
        </w:rPr>
      </w:pPr>
    </w:p>
    <w:p w:rsidR="000F778B" w14:paraId="2D9CB0EA" w14:textId="77777777">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rsidR="000F778B" w14:paraId="6F3BC497" w14:textId="77777777">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rsidR="000F778B" w14:paraId="04C980CF" w14:textId="77777777">
      <w:pPr>
        <w:ind w:firstLine="627" w:firstLineChars="196"/>
        <w:rPr>
          <w:rFonts w:ascii="黑体" w:eastAsia="黑体" w:hAnsi="黑体" w:cs="仿宋"/>
          <w:kern w:val="0"/>
          <w:sz w:val="32"/>
          <w:szCs w:val="32"/>
        </w:rPr>
      </w:pPr>
      <w:r>
        <w:rPr>
          <w:rFonts w:ascii="仿宋" w:eastAsia="仿宋" w:hAnsi="仿宋" w:hint="eastAsia"/>
          <w:b/>
          <w:sz w:val="32"/>
          <w:szCs w:val="32"/>
        </w:rPr>
        <w:t>（二）改进措施</w:t>
      </w:r>
    </w:p>
    <w:p w:rsidR="000F778B" w14:paraId="61ECAF52" w14:textId="77777777">
      <w:pPr>
        <w:ind w:left="840" w:firstLine="420"/>
      </w:pPr>
    </w:p>
    <w:p/>
    <w:p>
      <w:pPr>
        <w:pStyle w:val="MsoNormal"/>
        <w:widowControl/>
        <w:spacing w:before="240" w:after="240"/>
        <w:jc w:val="left"/>
        <w:rPr>
          <w:rFonts w:ascii="Times New Roman" w:eastAsia="Times New Roman" w:hAnsi="Times New Roman" w:cs="Times New Roman"/>
          <w:kern w:val="0"/>
          <w:sz w:val="24"/>
        </w:rPr>
      </w:pPr>
    </w:p>
    <w:p>
      <w:pPr>
        <w:pStyle w:val="15"/>
        <w:widowControl/>
        <w:spacing w:before="240" w:after="240" w:line="560" w:lineRule="atLeast"/>
        <w:ind w:firstLine="640"/>
        <w:jc w:val="left"/>
        <w:rPr>
          <w:rFonts w:ascii="Times New Roman" w:eastAsia="Times New Roman" w:hAnsi="Times New Roman" w:cs="Times New Roman"/>
          <w:kern w:val="0"/>
          <w:sz w:val="24"/>
        </w:rPr>
      </w:pPr>
      <w:r>
        <w:rPr>
          <w:rFonts w:ascii="SimHei" w:eastAsia="SimHei" w:hAnsi="SimHei" w:cs="SimHei"/>
          <w:kern w:val="0"/>
          <w:sz w:val="32"/>
          <w:szCs w:val="32"/>
        </w:rPr>
        <w:t>三、部门整体支出绩效自评表</w:t>
      </w:r>
    </w:p>
    <w:p>
      <w:pPr>
        <w:pStyle w:val="MsoNormal"/>
        <w:widowControl/>
        <w:spacing w:before="240" w:after="240"/>
        <w:jc w:val="center"/>
        <w:rPr>
          <w:rFonts w:ascii="Times New Roman" w:eastAsia="Times New Roman" w:hAnsi="Times New Roman" w:cs="Times New Roman"/>
          <w:kern w:val="0"/>
          <w:sz w:val="24"/>
        </w:rPr>
      </w:pPr>
      <w:r>
        <w:rPr>
          <w:rFonts w:ascii="SimSun" w:eastAsia="SimSun" w:hAnsi="SimSun" w:cs="SimSun"/>
          <w:b/>
          <w:bCs/>
          <w:kern w:val="0"/>
          <w:sz w:val="32"/>
          <w:szCs w:val="32"/>
        </w:rPr>
        <w:t>部门整体绩效自评表</w:t>
      </w:r>
    </w:p>
    <w:p>
      <w:pPr>
        <w:pStyle w:val="MsoNormal"/>
        <w:widowControl/>
        <w:spacing w:before="240" w:after="240"/>
        <w:jc w:val="center"/>
        <w:rPr>
          <w:rFonts w:ascii="Times New Roman" w:eastAsia="Times New Roman" w:hAnsi="Times New Roman" w:cs="Times New Roman"/>
          <w:kern w:val="0"/>
          <w:sz w:val="24"/>
        </w:rPr>
      </w:pPr>
      <w:r>
        <w:rPr>
          <w:rFonts w:ascii="SimSun" w:eastAsia="SimSun" w:hAnsi="SimSun" w:cs="SimSun"/>
          <w:kern w:val="0"/>
          <w:sz w:val="22"/>
          <w:szCs w:val="22"/>
        </w:rPr>
        <w:t>（2025年度）</w:t>
      </w:r>
    </w:p>
    <w:p>
      <w:pPr>
        <w:pageBreakBefore/>
      </w:pPr>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715"/>
        <w:gridCol w:w="715"/>
        <w:gridCol w:w="715"/>
        <w:gridCol w:w="715"/>
        <w:gridCol w:w="714"/>
        <w:gridCol w:w="714"/>
        <w:gridCol w:w="714"/>
        <w:gridCol w:w="714"/>
        <w:gridCol w:w="714"/>
        <w:gridCol w:w="714"/>
        <w:gridCol w:w="714"/>
        <w:gridCol w:w="714"/>
        <w:gridCol w:w="714"/>
        <w:gridCol w:w="714"/>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714" w:type="dxa"/>
            <w:gridSpan w:val="12"/>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部门整体绩效自评表</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sz w:val="24"/>
              </w:rPr>
              <w:t>（2025年度）</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专项名称</w:t>
            </w:r>
          </w:p>
        </w:tc>
        <w:tc>
          <w:tcPr>
            <w:tcW w:w="714"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sz w:val="24"/>
              </w:rPr>
              <w:t>815部门整体</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部门（单位）名称</w:t>
            </w:r>
          </w:p>
        </w:tc>
        <w:tc>
          <w:tcPr>
            <w:tcW w:w="714"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三明市三元区人民政府徐碧街道办事处</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部门预算编码</w:t>
            </w:r>
          </w:p>
        </w:tc>
        <w:tc>
          <w:tcPr>
            <w:tcW w:w="714"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815</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财政资金安排和使用情况</w:t>
            </w:r>
          </w:p>
        </w:tc>
        <w:tc>
          <w:tcPr>
            <w:tcW w:w="714" w:type="dxa"/>
            <w:gridSpan w:val="2"/>
            <w:vMerge w:val="restart"/>
            <w:tcMar>
              <w:left w:w="108" w:type="dxa"/>
              <w:right w:w="108" w:type="dxa"/>
            </w:tcMar>
            <w:vAlign w:val="center"/>
          </w:tcPr>
          <w:p>
            <w:pPr>
              <w:spacing w:before="0" w:after="0" w:line="240" w:lineRule="auto"/>
              <w:jc w:val="center"/>
              <w:textAlignment w:val="center"/>
            </w:pPr>
          </w:p>
        </w:tc>
        <w:tc>
          <w:tcPr>
            <w:tcW w:w="714"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预算安排</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拨付情况</w:t>
            </w:r>
          </w:p>
        </w:tc>
        <w:tc>
          <w:tcPr>
            <w:tcW w:w="714"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结余情况</w:t>
            </w:r>
          </w:p>
        </w:tc>
        <w:tc>
          <w:tcPr>
            <w:tcW w:w="714"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color w:val="000000"/>
                <w:sz w:val="21"/>
              </w:rPr>
              <w:t>分值</w:t>
            </w:r>
          </w:p>
        </w:tc>
        <w:tc>
          <w:tcPr>
            <w:tcW w:w="714"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color w:val="000000"/>
                <w:sz w:val="21"/>
              </w:rPr>
              <w:t>得分</w:t>
            </w: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3992" w:type="dxa"/>
            <w:gridSpan w:val="2"/>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年初部门预算安排金额（含历年结余结转）①</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年中调整金额②</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小计 ③ = ①+②</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年度拨付金额 ④</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支出实现率(%) ⑤=④/③</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本年度结余金额⑥=③-④</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资金结余率(%) ⑦=⑥/③</w:t>
            </w:r>
          </w:p>
        </w:tc>
        <w:tc>
          <w:tcPr>
            <w:tcW w:w="676" w:type="dxa"/>
            <w:vMerge/>
            <w:tcMar>
              <w:left w:w="108" w:type="dxa"/>
              <w:right w:w="108" w:type="dxa"/>
            </w:tcMar>
          </w:tcPr>
          <w:p/>
        </w:tc>
        <w:tc>
          <w:tcPr>
            <w:tcW w:w="676" w:type="dxa"/>
            <w:vMerge/>
            <w:tcMar>
              <w:left w:w="108" w:type="dxa"/>
              <w:right w:w="108" w:type="dxa"/>
            </w:tcMar>
          </w:tcP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合计</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961.10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2115.03</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3076.13</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2022.19</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65.74</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1053.94</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34.2600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color w:val="000000"/>
                <w:sz w:val="21"/>
              </w:rPr>
              <w:t>10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color w:val="000000"/>
                <w:sz w:val="21"/>
              </w:rPr>
              <w:t>5</w:t>
            </w: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财政资金小计</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961.10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2115.03</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3076.13</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2022.19</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65.74</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1053.94</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34.2600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①中央财政资金</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②省级财政资金</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③地方财政资金</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961.10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2115.03</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3076.13</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2022.19</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65.74</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1053.94</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34.2600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其他资金小计</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714"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714"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目标实际完成情况</w:t>
            </w: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714"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保证街道人员经费刚性支出足额发放，各项工作平稳、高效、高质量运行。</w:t>
            </w:r>
          </w:p>
        </w:tc>
        <w:tc>
          <w:tcPr>
            <w:tcW w:w="714"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目标完成情况良好</w:t>
            </w:r>
          </w:p>
        </w:tc>
      </w:tr>
      <w:tr>
        <w:tblPrEx>
          <w:tblW w:w="10000" w:type="dxa"/>
          <w:tblLayout w:type="fixed"/>
          <w:tblCellMar>
            <w:top w:w="0" w:type="dxa"/>
            <w:left w:w="108" w:type="dxa"/>
            <w:bottom w:w="0" w:type="dxa"/>
            <w:right w:w="108" w:type="dxa"/>
          </w:tblCellMar>
        </w:tblPrEx>
        <w:trPr>
          <w:cantSplit/>
          <w:tblHeader/>
        </w:trPr>
        <w:tc>
          <w:tcPr>
            <w:tcW w:w="714"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714"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714"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一般性支出情况</w:t>
            </w:r>
          </w:p>
        </w:tc>
        <w:tc>
          <w:tcPr>
            <w:tcW w:w="714"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一般性支出情况</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“三公”经费控制率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1776" w:type="dxa"/>
            <w:vMerge/>
            <w:tcMar>
              <w:left w:w="108" w:type="dxa"/>
              <w:right w:w="108" w:type="dxa"/>
            </w:tcMar>
          </w:tcPr>
          <w:p/>
        </w:tc>
        <w:tc>
          <w:tcPr>
            <w:tcW w:w="2216"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“三公”经费违规使用次数</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≤0次</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1776" w:type="dxa"/>
            <w:vMerge/>
            <w:tcMar>
              <w:left w:w="108" w:type="dxa"/>
              <w:right w:w="108" w:type="dxa"/>
            </w:tcMar>
          </w:tcPr>
          <w:p/>
        </w:tc>
        <w:tc>
          <w:tcPr>
            <w:tcW w:w="2216"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会议费、差旅费超标准使用次数</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≤0次</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714"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18</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18</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1776" w:type="dxa"/>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18</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18</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65.74</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5.26</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714"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群众安全感率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1776" w:type="dxa"/>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环境满意率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2876" w:type="dxa"/>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714"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92.26</w:t>
            </w:r>
          </w:p>
        </w:tc>
      </w:tr>
      <w:tr>
        <w:tblPrEx>
          <w:tblW w:w="10000" w:type="dxa"/>
          <w:tblLayout w:type="fixed"/>
          <w:tblCellMar>
            <w:top w:w="0" w:type="dxa"/>
            <w:left w:w="108" w:type="dxa"/>
            <w:bottom w:w="0" w:type="dxa"/>
            <w:right w:w="108" w:type="dxa"/>
          </w:tblCellMar>
        </w:tblPrEx>
        <w:trPr>
          <w:cantSplit/>
          <w:tblHeader/>
        </w:trPr>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评价等级</w:t>
            </w:r>
          </w:p>
        </w:tc>
        <w:tc>
          <w:tcPr>
            <w:tcW w:w="714"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bl>
    <w:p/>
    <w:p>
      <w:pPr>
        <w:pStyle w:val="MsoNormal"/>
        <w:widowControl/>
        <w:spacing w:before="240" w:after="240"/>
        <w:jc w:val="left"/>
        <w:rPr>
          <w:rFonts w:ascii="Times New Roman" w:eastAsia="Times New Roman" w:hAnsi="Times New Roman" w:cs="Times New Roman"/>
          <w:kern w:val="0"/>
          <w:sz w:val="24"/>
        </w:rPr>
      </w:pPr>
    </w:p>
    <w:p>
      <w:pPr>
        <w:keepNext w:val="0"/>
        <w:keepLines w:val="0"/>
        <w:pageBreakBefore w:val="0"/>
        <w:widowControl w:val="0"/>
        <w:tabs>
          <w:tab w:val="left" w:pos="8415"/>
        </w:tabs>
        <w:kinsoku/>
        <w:wordWrap/>
        <w:overflowPunct/>
        <w:topLinePunct w:val="0"/>
        <w:autoSpaceDE/>
        <w:autoSpaceDN/>
        <w:bidi w:val="0"/>
        <w:adjustRightInd/>
        <w:snapToGrid/>
        <w:textAlignment w:val="auto"/>
      </w:pPr>
      <w:bookmarkEnd w:id="1"/>
    </w:p>
    <w:sectPr>
      <w:footerReference w:type="default" r:id="rId24"/>
      <w:pgSz w:w="11906" w:h="16838"/>
      <w:pgMar w:top="1984" w:right="1083" w:bottom="1984" w:left="1083" w:header="0" w:footer="720" w:gutter="0"/>
      <w:cols w:num="1" w:space="0"/>
      <w:titlePg w:val="0"/>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BFDA8B98">
    <w:panose1 w:val="0201060103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21</w:t>
    </w:r>
    <w:r>
      <w:rPr>
        <w:rFonts w:ascii="宋体" w:eastAsia="宋体" w:hAnsi="宋体" w:cs="宋体"/>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24</w:t>
    </w:r>
    <w:r>
      <w:rPr>
        <w:rFonts w:ascii="宋体" w:eastAsia="宋体" w:hAnsi="宋体" w:cs="宋体"/>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25</w:t>
    </w:r>
    <w:r>
      <w:rPr>
        <w:rFonts w:ascii="宋体" w:eastAsia="宋体" w:hAnsi="宋体" w:cs="宋体"/>
        <w:sz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26</w:t>
    </w:r>
    <w:r>
      <w:rPr>
        <w:rFonts w:ascii="宋体" w:eastAsia="宋体" w:hAnsi="宋体" w:cs="宋体"/>
        <w:sz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27</w:t>
    </w:r>
    <w:r>
      <w:rPr>
        <w:rFonts w:ascii="宋体" w:eastAsia="宋体" w:hAnsi="宋体" w:cs="宋体"/>
        <w:sz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28</w:t>
    </w:r>
    <w:r>
      <w:rPr>
        <w:rFonts w:ascii="宋体" w:eastAsia="宋体" w:hAnsi="宋体" w:cs="宋体"/>
        <w:sz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34</w:t>
    </w:r>
    <w:r>
      <w:rPr>
        <w:rFonts w:ascii="宋体" w:eastAsia="宋体" w:hAnsi="宋体" w:cs="宋体"/>
        <w:sz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35</w:t>
    </w:r>
    <w:r>
      <w:rPr>
        <w:rFonts w:ascii="宋体" w:eastAsia="宋体" w:hAnsi="宋体" w:cs="宋体"/>
        <w:sz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37</w:t>
    </w:r>
    <w:r>
      <w:rPr>
        <w:rFonts w:ascii="宋体" w:eastAsia="宋体" w:hAnsi="宋体" w:cs="宋体"/>
        <w:sz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38</w:t>
    </w:r>
    <w:r>
      <w:rPr>
        <w:rFonts w:ascii="宋体" w:eastAsia="宋体" w:hAnsi="宋体" w:cs="宋体"/>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w:t>
    </w:r>
    <w:r>
      <w:rPr>
        <w:rFonts w:ascii="宋体" w:eastAsia="宋体" w:hAnsi="宋体" w:cs="宋体"/>
        <w:sz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45</w:t>
    </w:r>
    <w:r>
      <w:rPr>
        <w:rFonts w:ascii="宋体" w:eastAsia="宋体" w:hAnsi="宋体" w:cs="宋体"/>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w:t>
    </w:r>
    <w:r>
      <w:rPr>
        <w:rFonts w:ascii="宋体" w:eastAsia="宋体" w:hAnsi="宋体" w:cs="宋体"/>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4</w:t>
    </w:r>
    <w:r>
      <w:rPr>
        <w:rFonts w:ascii="宋体" w:eastAsia="宋体" w:hAnsi="宋体" w:cs="宋体"/>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5</w:t>
    </w:r>
    <w:r>
      <w:rPr>
        <w:rFonts w:ascii="宋体" w:eastAsia="宋体" w:hAnsi="宋体" w:cs="宋体"/>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7</w:t>
    </w:r>
    <w:r>
      <w:rPr>
        <w:rFonts w:ascii="宋体" w:eastAsia="宋体" w:hAnsi="宋体" w:cs="宋体"/>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11</w:t>
    </w:r>
    <w:r>
      <w:rPr>
        <w:rFonts w:ascii="宋体" w:eastAsia="宋体" w:hAnsi="宋体" w:cs="宋体"/>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15</w:t>
    </w:r>
    <w:r>
      <w:rPr>
        <w:rFonts w:ascii="宋体" w:eastAsia="宋体" w:hAnsi="宋体" w:cs="宋体"/>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18</w:t>
    </w:r>
    <w:r>
      <w:rPr>
        <w:rFonts w:ascii="宋体" w:eastAsia="宋体" w:hAnsi="宋体" w:cs="宋体"/>
        <w:sz w:val="18"/>
      </w:rPr>
      <w:fldChar w:fldCharType="end"/>
    </w:r>
  </w:p>
</w:ftr>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qFormat="1"/>
    <w:lsdException w:name="toc 5" w:semiHidden="0" w:uiPriority="0" w:unhideWhenUsed="0" w:qFormat="1"/>
    <w:lsdException w:name="toc 6" w:semiHidden="0" w:uiPriority="0" w:unhideWhenUsed="0" w:qFormat="1"/>
    <w:lsdException w:name="toc 7" w:semiHidden="0" w:uiPriority="0" w:unhideWhenUsed="0" w:qFormat="1"/>
    <w:lsdException w:name="toc 8" w:semiHidden="0" w:uiPriority="0" w:unhideWhenUsed="0" w:qFormat="1"/>
    <w:lsdException w:name="toc 9" w:semiHidden="0" w:uiPriority="0" w:unhideWhenUsed="0" w:qFormat="1"/>
    <w:lsdException w:name="Normal Indent" w:uiPriority="0"/>
    <w:lsdException w:name="footnote text" w:uiPriority="0"/>
    <w:lsdException w:name="annotation text" w:uiPriority="0"/>
    <w:lsdException w:name="header" w:semiHidden="0" w:uiPriority="0" w:unhideWhenUsed="0" w:qFormat="1"/>
    <w:lsdException w:name="footer" w:semiHidden="0" w:uiPriority="0" w:unhideWhenUsed="0" w:qFormat="1"/>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semiHidden="0" w:uiPriority="0" w:unhideWhenUsed="0" w:qFormat="1"/>
    <w:lsdException w:name="endnote reference" w:uiPriority="0"/>
    <w:lsdException w:name="endnote text" w:uiPriority="0"/>
    <w:lsdException w:name="table of authorities" w:semiHidden="0" w:uiPriority="0" w:unhideWhenUsed="0"/>
    <w:lsdException w:name="macro" w:uiPriority="0"/>
    <w:lsdException w:name="toa heading" w:uiPriority="0"/>
    <w:lsdException w:name="List" w:semiHidden="0" w:uiPriority="0" w:unhideWhenUsed="0"/>
    <w:lsdException w:name="List Bullet" w:semiHidden="0" w:uiPriority="0" w:unhideWhenUsed="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qFormat="1"/>
    <w:lsdException w:name="Body Text" w:uiPriority="0"/>
    <w:lsdException w:name="Body Text Indent" w:uiPriority="0"/>
    <w:lsdException w:name="List Continue" w:uiPriority="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Document Map" w:semiHidden="0" w:uiPriority="0" w:unhideWhenUsed="0" w:qFormat="1"/>
    <w:lsdException w:name="Plain Text" w:uiPriority="0"/>
    <w:lsdException w:name="E-mail Signature" w:uiPriority="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qFormat/>
    <w:pPr>
      <w:keepNext/>
      <w:keepLines/>
      <w:spacing w:before="340" w:after="330" w:line="578" w:lineRule="auto"/>
      <w:outlineLvl w:val="0"/>
    </w:pPr>
    <w:rPr>
      <w:rFonts w:eastAsia="仿宋"/>
      <w:bCs/>
      <w:kern w:val="44"/>
      <w:sz w:val="32"/>
      <w:szCs w:val="44"/>
    </w:rPr>
  </w:style>
  <w:style w:type="paragraph" w:styleId="Heading2">
    <w:name w:val="heading 2"/>
    <w:basedOn w:val="NoSpacing"/>
    <w:next w:val="NoSpacing"/>
    <w:qFormat/>
    <w:pPr>
      <w:keepNext/>
      <w:keepLines/>
      <w:spacing w:before="260" w:after="260" w:line="416" w:lineRule="auto"/>
      <w:outlineLvl w:val="1"/>
    </w:pPr>
    <w:rPr>
      <w:rFonts w:ascii="Arial" w:eastAsia="仿宋" w:hAnsi="Arial"/>
      <w:bCs/>
      <w:sz w:val="32"/>
      <w:szCs w:val="32"/>
    </w:rPr>
  </w:style>
  <w:style w:type="paragraph" w:styleId="Heading3">
    <w:name w:val="heading 3"/>
    <w:basedOn w:val="NoSpacing"/>
    <w:next w:val="NoSpacing"/>
    <w:link w:val="3"/>
    <w:qFormat/>
    <w:pPr>
      <w:keepNext/>
      <w:keepLines/>
      <w:spacing w:before="260" w:after="260" w:line="416" w:lineRule="auto"/>
      <w:outlineLvl w:val="2"/>
    </w:pPr>
    <w:rPr>
      <w:rFonts w:eastAsia="仿宋"/>
      <w:bCs/>
      <w:sz w:val="32"/>
      <w:szCs w:val="32"/>
    </w:rPr>
  </w:style>
  <w:style w:type="paragraph" w:styleId="Heading4">
    <w:name w:val="heading 4"/>
    <w:basedOn w:val="NoSpacing"/>
    <w:next w:val="NoSpacing"/>
    <w:link w:val="4"/>
    <w:qFormat/>
    <w:pPr>
      <w:keepNext/>
      <w:keepLines/>
      <w:spacing w:before="280" w:after="290" w:line="376" w:lineRule="auto"/>
      <w:outlineLvl w:val="3"/>
    </w:pPr>
    <w:rPr>
      <w:rFonts w:ascii="Cambria" w:eastAsia="仿宋" w:hAnsi="Cambria"/>
      <w:bCs/>
      <w:sz w:val="32"/>
      <w:szCs w:val="28"/>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NoSpacing">
    <w:name w:val="No Spacing"/>
    <w:link w:val="a"/>
    <w:qFormat/>
    <w:pPr>
      <w:ind w:firstLine="200" w:firstLineChars="200"/>
    </w:pPr>
    <w:rPr>
      <w:rFonts w:ascii="Times New Roman" w:eastAsia="仿宋_GB2312" w:hAnsi="Times New Roman" w:cs="Times New Roman"/>
      <w:sz w:val="30"/>
      <w:szCs w:val="22"/>
      <w:lang w:val="en-US" w:eastAsia="zh-CN" w:bidi="ar-SA"/>
    </w:rPr>
  </w:style>
  <w:style w:type="paragraph" w:styleId="TOC7">
    <w:name w:val="toc 7"/>
    <w:basedOn w:val="Normal"/>
    <w:next w:val="Normal"/>
    <w:autoRedefine/>
    <w:qFormat/>
    <w:pPr>
      <w:ind w:left="1260"/>
      <w:jc w:val="left"/>
    </w:pPr>
    <w:rPr>
      <w:sz w:val="20"/>
      <w:szCs w:val="20"/>
    </w:rPr>
  </w:style>
  <w:style w:type="paragraph" w:styleId="DocumentMap">
    <w:name w:val="Document Map"/>
    <w:basedOn w:val="Normal"/>
    <w:qFormat/>
    <w:pPr>
      <w:shd w:val="clear" w:color="auto" w:fill="000080"/>
    </w:pPr>
  </w:style>
  <w:style w:type="paragraph" w:styleId="TOC5">
    <w:name w:val="toc 5"/>
    <w:basedOn w:val="Normal"/>
    <w:next w:val="Normal"/>
    <w:autoRedefine/>
    <w:qFormat/>
    <w:pPr>
      <w:ind w:left="840"/>
      <w:jc w:val="left"/>
    </w:pPr>
    <w:rPr>
      <w:sz w:val="20"/>
      <w:szCs w:val="20"/>
    </w:rPr>
  </w:style>
  <w:style w:type="paragraph" w:styleId="TOC3">
    <w:name w:val="toc 3"/>
    <w:next w:val="Heading3"/>
    <w:qFormat/>
    <w:pPr>
      <w:adjustRightInd w:val="0"/>
      <w:snapToGrid w:val="0"/>
      <w:spacing w:line="360" w:lineRule="auto"/>
      <w:ind w:firstLine="400" w:firstLineChars="400"/>
      <w:jc w:val="left"/>
    </w:pPr>
    <w:rPr>
      <w:rFonts w:ascii="Times New Roman" w:eastAsia="仿宋" w:hAnsi="Times New Roman" w:cs="Times New Roman"/>
      <w:sz w:val="32"/>
      <w:szCs w:val="20"/>
    </w:rPr>
  </w:style>
  <w:style w:type="paragraph" w:styleId="TOC8">
    <w:name w:val="toc 8"/>
    <w:basedOn w:val="Normal"/>
    <w:next w:val="Normal"/>
    <w:autoRedefine/>
    <w:qFormat/>
    <w:pPr>
      <w:ind w:left="1470"/>
      <w:jc w:val="left"/>
    </w:pPr>
    <w:rPr>
      <w:sz w:val="20"/>
      <w:szCs w:val="20"/>
    </w:rPr>
  </w:style>
  <w:style w:type="paragraph" w:styleId="Footer">
    <w:name w:val="footer"/>
    <w:basedOn w:val="Normal"/>
    <w:link w:val="a0"/>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paragraph" w:styleId="TOC1">
    <w:name w:val="toc 1"/>
    <w:next w:val="NoSpacing"/>
    <w:qFormat/>
    <w:pPr>
      <w:adjustRightInd w:val="0"/>
      <w:snapToGrid w:val="0"/>
      <w:spacing w:line="360" w:lineRule="auto"/>
      <w:jc w:val="left"/>
    </w:pPr>
    <w:rPr>
      <w:rFonts w:ascii="Times New Roman" w:eastAsia="仿宋" w:hAnsi="Times New Roman" w:cs="Times New Roman"/>
      <w:bCs/>
      <w:sz w:val="32"/>
      <w:szCs w:val="20"/>
    </w:rPr>
  </w:style>
  <w:style w:type="paragraph" w:styleId="TOC4">
    <w:name w:val="toc 4"/>
    <w:basedOn w:val="Normal"/>
    <w:next w:val="Normal"/>
    <w:autoRedefine/>
    <w:qFormat/>
    <w:pPr>
      <w:ind w:left="630"/>
      <w:jc w:val="left"/>
    </w:pPr>
    <w:rPr>
      <w:sz w:val="20"/>
      <w:szCs w:val="20"/>
    </w:rPr>
  </w:style>
  <w:style w:type="paragraph" w:styleId="TOC6">
    <w:name w:val="toc 6"/>
    <w:basedOn w:val="Normal"/>
    <w:next w:val="Normal"/>
    <w:autoRedefine/>
    <w:qFormat/>
    <w:pPr>
      <w:ind w:left="1050"/>
      <w:jc w:val="left"/>
    </w:pPr>
    <w:rPr>
      <w:sz w:val="20"/>
      <w:szCs w:val="20"/>
    </w:rPr>
  </w:style>
  <w:style w:type="paragraph" w:styleId="TOC2">
    <w:name w:val="toc 2"/>
    <w:next w:val="NoSpacing"/>
    <w:qFormat/>
    <w:pPr>
      <w:adjustRightInd w:val="0"/>
      <w:snapToGrid w:val="0"/>
      <w:spacing w:line="360" w:lineRule="auto"/>
      <w:ind w:firstLine="200" w:firstLineChars="200"/>
      <w:jc w:val="left"/>
    </w:pPr>
    <w:rPr>
      <w:rFonts w:ascii="Times New Roman" w:eastAsia="仿宋" w:hAnsi="Times New Roman" w:cs="Times New Roman"/>
      <w:b/>
      <w:iCs/>
      <w:sz w:val="32"/>
      <w:szCs w:val="20"/>
    </w:rPr>
  </w:style>
  <w:style w:type="paragraph" w:styleId="TOC9">
    <w:name w:val="toc 9"/>
    <w:basedOn w:val="Normal"/>
    <w:next w:val="Normal"/>
    <w:autoRedefine/>
    <w:qFormat/>
    <w:pPr>
      <w:ind w:left="1680"/>
      <w:jc w:val="left"/>
    </w:pPr>
    <w:rPr>
      <w:sz w:val="20"/>
      <w:szCs w:val="20"/>
    </w:rPr>
  </w:style>
  <w:style w:type="character" w:styleId="PageNumber">
    <w:name w:val="page number"/>
    <w:basedOn w:val="DefaultParagraphFont"/>
    <w:qFormat/>
  </w:style>
  <w:style w:type="character" w:styleId="Hyperlink">
    <w:name w:val="Hyperlink"/>
    <w:qFormat/>
    <w:rPr>
      <w:rFonts w:ascii="宋体" w:eastAsia="仿宋" w:hAnsi="宋体" w:cs="Times New Roman"/>
      <w:kern w:val="2"/>
      <w:sz w:val="32"/>
      <w:szCs w:val="32"/>
      <w:lang w:val="en-US" w:eastAsia="zh-CN" w:bidi="ar-SA"/>
    </w:rPr>
  </w:style>
  <w:style w:type="character" w:customStyle="1" w:styleId="3">
    <w:name w:val="标题 3 字符"/>
    <w:basedOn w:val="DefaultParagraphFont"/>
    <w:link w:val="Heading3"/>
    <w:qFormat/>
    <w:rPr>
      <w:rFonts w:eastAsia="仿宋"/>
      <w:bCs/>
      <w:kern w:val="2"/>
      <w:sz w:val="32"/>
      <w:szCs w:val="32"/>
    </w:rPr>
  </w:style>
  <w:style w:type="character" w:customStyle="1" w:styleId="4">
    <w:name w:val="标题 4 字符"/>
    <w:basedOn w:val="DefaultParagraphFont"/>
    <w:link w:val="Heading4"/>
    <w:qFormat/>
    <w:rPr>
      <w:rFonts w:ascii="Cambria" w:eastAsia="仿宋" w:hAnsi="Cambria"/>
      <w:bCs/>
      <w:kern w:val="2"/>
      <w:sz w:val="32"/>
      <w:szCs w:val="28"/>
    </w:rPr>
  </w:style>
  <w:style w:type="character" w:customStyle="1" w:styleId="a">
    <w:name w:val="无间隔 字符"/>
    <w:link w:val="NoSpacing"/>
    <w:qFormat/>
    <w:locked/>
    <w:rPr>
      <w:rFonts w:eastAsia="仿宋_GB2312"/>
      <w:sz w:val="30"/>
      <w:szCs w:val="22"/>
      <w:lang w:bidi="ar-SA"/>
    </w:rPr>
  </w:style>
  <w:style w:type="character" w:customStyle="1" w:styleId="a0">
    <w:name w:val="页脚 字符"/>
    <w:basedOn w:val="DefaultParagraphFont"/>
    <w:link w:val="Footer"/>
    <w:qFormat/>
    <w:rPr>
      <w:kern w:val="2"/>
      <w:sz w:val="18"/>
      <w:szCs w:val="18"/>
    </w:rPr>
  </w:style>
  <w:style w:type="paragraph" w:styleId="ListParagraph">
    <w:name w:val="List Paragraph"/>
    <w:basedOn w:val="Normal"/>
    <w:qFormat/>
    <w:pPr>
      <w:ind w:firstLine="420" w:firstLineChars="200"/>
    </w:pPr>
  </w:style>
  <w:style w:type="paragraph" w:customStyle="1" w:styleId="MsoNormal">
    <w:name w:val="MsoNormal"/>
    <w:basedOn w:val="Normal"/>
  </w:style>
  <w:style w:type="paragraph" w:customStyle="1" w:styleId="p">
    <w:name w:val="p"/>
    <w:basedOn w:val="Normal"/>
  </w:style>
  <w:style w:type="paragraph" w:customStyle="1" w:styleId="15">
    <w:name w:val="15"/>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
    <Relationship Target="settings.xml" Type="http://schemas.openxmlformats.org/officeDocument/2006/relationships/settings" Id="rId1"/>
    <Relationship Target="footer6.xml" Type="http://schemas.openxmlformats.org/officeDocument/2006/relationships/footer" Id="rId10"/>
    <Relationship Target="footer7.xml" Type="http://schemas.openxmlformats.org/officeDocument/2006/relationships/footer" Id="rId11"/>
    <Relationship Target="footer8.xml" Type="http://schemas.openxmlformats.org/officeDocument/2006/relationships/footer" Id="rId12"/>
    <Relationship Target="footer9.xml" Type="http://schemas.openxmlformats.org/officeDocument/2006/relationships/footer" Id="rId13"/>
    <Relationship Target="footer10.xml" Type="http://schemas.openxmlformats.org/officeDocument/2006/relationships/footer" Id="rId14"/>
    <Relationship Target="footer11.xml" Type="http://schemas.openxmlformats.org/officeDocument/2006/relationships/footer" Id="rId15"/>
    <Relationship Target="footer12.xml" Type="http://schemas.openxmlformats.org/officeDocument/2006/relationships/footer" Id="rId16"/>
    <Relationship Target="footer13.xml" Type="http://schemas.openxmlformats.org/officeDocument/2006/relationships/footer" Id="rId17"/>
    <Relationship Target="footer14.xml" Type="http://schemas.openxmlformats.org/officeDocument/2006/relationships/footer" Id="rId18"/>
    <Relationship Target="footer15.xml" Type="http://schemas.openxmlformats.org/officeDocument/2006/relationships/footer" Id="rId19"/>
    <Relationship Target="webSettings.xml" Type="http://schemas.openxmlformats.org/officeDocument/2006/relationships/webSettings" Id="rId2"/>
    <Relationship Target="footer16.xml" Type="http://schemas.openxmlformats.org/officeDocument/2006/relationships/footer" Id="rId20"/>
    <Relationship Target="footer17.xml" Type="http://schemas.openxmlformats.org/officeDocument/2006/relationships/footer" Id="rId21"/>
    <Relationship Target="footer18.xml" Type="http://schemas.openxmlformats.org/officeDocument/2006/relationships/footer" Id="rId22"/>
    <Relationship Target="footer19.xml" Type="http://schemas.openxmlformats.org/officeDocument/2006/relationships/footer" Id="rId23"/>
    <Relationship Target="footer20.xml" Type="http://schemas.openxmlformats.org/officeDocument/2006/relationships/footer" Id="rId24"/>
    <Relationship Target="theme/theme1.xml" Type="http://schemas.openxmlformats.org/officeDocument/2006/relationships/theme" Id="rId25"/>
    <Relationship Target="styles.xml" Type="http://schemas.openxmlformats.org/officeDocument/2006/relationships/styles" Id="rId26"/>
    <Relationship Target="fontTable.xml" Type="http://schemas.openxmlformats.org/officeDocument/2006/relationships/fontTable" Id="rId3"/>
    <Relationship Target="../customXml/item1.xml" Type="http://schemas.openxmlformats.org/officeDocument/2006/relationships/customXml" Id="rId4"/>
    <Relationship Target="footer1.xml" Type="http://schemas.openxmlformats.org/officeDocument/2006/relationships/footer" Id="rId5"/>
    <Relationship Target="footer2.xml" Type="http://schemas.openxmlformats.org/officeDocument/2006/relationships/footer" Id="rId6"/>
    <Relationship Target="footer3.xml" Type="http://schemas.openxmlformats.org/officeDocument/2006/relationships/footer" Id="rId7"/>
    <Relationship Target="footer4.xml" Type="http://schemas.openxmlformats.org/officeDocument/2006/relationships/footer" Id="rId8"/>
    <Relationship Target="footer5.xml" Type="http://schemas.openxmlformats.org/officeDocument/2006/relationships/footer" Id="rI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48</Pages>
  <Words>20</Words>
  <Characters>35</Characters>
  <Application>Microsoft Office Word</Application>
  <DocSecurity>0</DocSecurity>
  <Lines>1</Lines>
  <Paragraphs>1</Paragraphs>
  <ScaleCrop>false</ScaleCrop>
  <Company>微软中国</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××年度××部门/单位</dc:title>
  <dc:creator>Administrator</dc:creator>
  <cp:lastModifiedBy>fff</cp:lastModifiedBy>
  <cp:revision>18</cp:revision>
  <cp:lastPrinted>2021-04-16T00:45:00Z</cp:lastPrinted>
  <dcterms:created xsi:type="dcterms:W3CDTF">2022-03-23T12:40:00Z</dcterms:created>
  <dcterms:modified xsi:type="dcterms:W3CDTF">2026-07-08T00:53:27Z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66C67484C41D4C05B3487E28FB439B3F_13</vt:lpwstr>
  </property>
  <property fmtid="{D5CDD505-2E9C-101B-9397-08002B2CF9AE}" pid="3" name="KSOProductBuildVer">
    <vt:lpwstr>2052-12.1.0.26375</vt:lpwstr>
  </property>
  <property fmtid="{D5CDD505-2E9C-101B-9397-08002B2CF9AE}" pid="4" name="KSOTemplateDocerSaveRecord">
    <vt:lpwstr>eyJoZGlkIjoiMjBmNzFhNTE2ODA4NWNjMzY3MDUyM2Q1MGJjODVmODYiLCJ1c2VySWQiOiIzNzI5MDg1NDQifQ==</vt:lpwstr>
  </property>
</Properties>
</file>