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hint="eastAsia" w:ascii="Times New Roman" w:hAnsi="Times New Roman" w:eastAsia="方正大标宋简体" w:cs="Times New Roman"/>
          <w:b w:val="0"/>
          <w:bCs w:val="0"/>
          <w:color w:val="FF0000"/>
          <w:spacing w:val="80"/>
          <w:w w:val="85"/>
          <w:sz w:val="140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</w:p>
    <w:p>
      <w:pPr>
        <w:jc w:val="center"/>
        <w:rPr>
          <w:rFonts w:ascii="Times New Roman" w:hAnsi="Times New Roman" w:eastAsia="方正大标宋简体" w:cs="Times New Roman"/>
          <w:b w:val="0"/>
          <w:bCs w:val="0"/>
          <w:color w:val="00FF00"/>
          <w:spacing w:val="80"/>
          <w:w w:val="85"/>
          <w:sz w:val="14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FF00"/>
          <w:spacing w:val="80"/>
          <w:w w:val="85"/>
          <w:sz w:val="140"/>
          <w:szCs w:val="20"/>
        </w:rPr>
        <w:t>福建省发电</w:t>
      </w:r>
    </w:p>
    <w:p>
      <w:pPr>
        <w:pStyle w:val="3"/>
        <w:spacing w:line="380" w:lineRule="exact"/>
        <w:rPr>
          <w:rFonts w:ascii="Times New Roman" w:hAnsi="Times New Roman" w:cs="Times New Roman"/>
          <w:b w:val="0"/>
          <w:bCs w:val="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842"/>
        <w:gridCol w:w="944"/>
        <w:gridCol w:w="3399"/>
        <w:gridCol w:w="175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6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26" w:rightChars="-60"/>
              <w:rPr>
                <w:rFonts w:hint="eastAsia"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0"/>
              </w:rPr>
              <w:t>发电单位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b w:val="0"/>
                <w:bCs w:val="0"/>
                <w:sz w:val="32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0"/>
                <w:lang w:eastAsia="zh-CN"/>
              </w:rPr>
              <w:t>三元区人民政府办公室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ind w:left="-615" w:leftChars="-293" w:firstLine="937" w:firstLineChars="293"/>
              <w:jc w:val="center"/>
              <w:rPr>
                <w:rFonts w:ascii="Times New Roman" w:hAnsi="Times New Roman" w:eastAsia="楷体_GB2312" w:cs="Times New Roman"/>
                <w:b w:val="0"/>
                <w:bCs w:val="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0"/>
              </w:rPr>
              <w:t>签发盖章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楷体_GB2312"/>
                <w:b w:val="0"/>
                <w:bCs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sz w:val="3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0"/>
                <w:lang w:val="en-US" w:eastAsia="zh-CN"/>
              </w:rPr>
              <w:t xml:space="preserve"> 罗炳辉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22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20"/>
              </w:rPr>
              <w:t>等级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-2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20"/>
                <w:sz w:val="32"/>
                <w:szCs w:val="20"/>
              </w:rPr>
              <w:t>特急</w:t>
            </w:r>
          </w:p>
        </w:tc>
        <w:tc>
          <w:tcPr>
            <w:tcW w:w="944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-23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32"/>
                <w:szCs w:val="22"/>
              </w:rPr>
              <w:t>·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22"/>
              </w:rPr>
              <w:t>明电</w:t>
            </w:r>
          </w:p>
        </w:tc>
        <w:tc>
          <w:tcPr>
            <w:tcW w:w="6564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spacing w:val="-34"/>
                <w:sz w:val="32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32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32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32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0"/>
                <w:lang w:eastAsia="zh-CN"/>
              </w:rPr>
              <w:t>元政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0"/>
              </w:rPr>
              <w:t>办发明电〔202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0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0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  <w:t>三元区人民政府办公室关于印发《三元区2025年一季度“开门稳”工作方案》的通知</w:t>
      </w:r>
    </w:p>
    <w:p>
      <w:pPr>
        <w:wordWrap w:val="0"/>
        <w:spacing w:line="576" w:lineRule="exact"/>
        <w:ind w:firstLine="640" w:firstLineChars="200"/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</w:rPr>
      </w:pPr>
    </w:p>
    <w:p>
      <w:pPr>
        <w:wordWrap w:val="0"/>
        <w:spacing w:line="576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各乡镇人民政府、街道办事处，区直各单位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：</w:t>
      </w:r>
    </w:p>
    <w:p>
      <w:pPr>
        <w:tabs>
          <w:tab w:val="left" w:pos="8190"/>
        </w:tabs>
        <w:wordWrap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经研究同意，现将《三元区2025年一季度“开门稳”工作方案》印发给你们，请认真组织实施。</w:t>
      </w:r>
      <w:bookmarkStart w:id="0" w:name="_GoBack"/>
      <w:bookmarkEnd w:id="0"/>
    </w:p>
    <w:p>
      <w:pPr>
        <w:widowControl w:val="0"/>
        <w:ind w:firstLine="42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firstLine="42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ind w:right="506" w:rightChars="241" w:firstLine="420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三元区人民政府办公室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type="lines" w:linePitch="580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三元区2025年一季度“开门稳”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（乡镇、街道）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一、工作对象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第一组：岩前镇、莘口镇、徐碧街道、列西街道；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第二组：列东街道、城关街道、白沙街道、富兴堡街道；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第三组：陈大镇、洋溪镇、中村乡、荆西街道。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二、工作内容（总分值100分）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（一）经济指标（分值45分）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1.农业生产（镇、街4分，岩前6分，白沙2.5分，由区农业农村局负责）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农业总产值（分值3分，岩前4.5分，白沙2分）。以各乡镇、街道农业总产值增量（1分，岩前1.6分，白沙0.6分）、增速（1.5分，岩前2.4分，白沙0.9分）为计算指标，用功效系数法计算得分。增速达到预期目标得满分（0.5分），未达目标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（2）春播粮食生产情况（分值1分，岩前1.5分，白沙0.5分）。以各乡镇、街道完成春播粮食（春种以马铃薯、油菜完成指标为主）、蔬菜等生产任务为计算指标，完成任务的得满分，未完成任务的按比例得分。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2.工业发展（分值10分，由区工信局负责）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（1）规上工业增加值（分值8分）。以各乡镇、街道规上工业增加值增量（3.2分）、增速（4.8分）为计算指标，分别用功效系数法计算得分。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（2）规上工业企业发展情况（分值2分）。根据各乡镇（街道）规上工业企业一季度发展情况，开展综合评价。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3.限上商贸（镇、街10分，白沙11.5分，由区商务局负责）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（1）批发业销售额（分值1.8分）。以各乡镇、街道批发业销售额增量（0.72分）、增速（1.08分）为计算指标，分别用功效系数法计算得分。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（2）零售业销售额（分值2.5分）。以各乡镇、街道零售业销售额增量（1分）、增速（1.5分）为计算指标，分别用功效系数法计算得分。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（3）住宿业营业额（分值0.7分）。以各乡镇、街道住宿业营业额增量（0.28分）、增速（0.42分）为计算指标，分别用功效系数法计算得分。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（4）餐饮业营业额（分值1分）。以各乡镇、街道餐饮业营业额增量（0.4分）、增速（0.6分）为计算指标，分别用功效系数法计算得分。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（5）社会消费品零售总额（分值3分，白沙4.5分）。以各乡镇、街道社会消费品零售总额增量（1.2分，白沙1.8分）、增速（2.8分，白沙2.7分）为计算指标，分别用功效系数法计算得分。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（6）利用外资（分值1分）。以各乡镇、街道完成实际利用外资目标为计算指标，完成目标得满分，未完成目标按比例得分。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4.规上服务业（镇、街6分，白沙、富兴堡8分，由区发改局负责）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以各乡镇、街道其他营利性服务业营业收入增量（2分，白沙、富兴堡2.8分）、增速（3分，白沙、富兴堡4.2分）为计算指标，分别用功效系数法计算得分。预期目标（1分），营业收入增速达到预期目标的得满分，未达目标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5.固定资产投资（分值10分，由区发改局负责）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（1）固定资产投资完成情况（分值7分）。完成任务得满分，未完成任务的按比例得分。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（2）项目申报质量情况（分值3分）。首次申报项目直接入库的，每入库1个5000万元以上项目加0.5分（5000万元以下项目按个数折算5000万元以上项目）。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6.工资收入（镇、街5分，岩前、白沙、富兴堡3分）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（1）农村居民收入（乡镇3分，岩前1分，由区农业农村局负责）。以各乡镇抽样居民收入、支出增速（2分，岩前1分）为计算指标，用功效系数法计算得分。预期目标（1分），未达目标的按比例得分。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城镇居民收入（街道3分，白沙、富兴堡1分，由区发改局负责）。以各街道抽样居民收入、支出增速（2分，白沙、富兴堡1分）为计算指标，用功效系数法计算得分。预期目标（1分），未达目标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（3）从业人员工资（分值2分）。以各乡镇、街道从业人员工资增速5%为预期目标，达到的得满分，未达到的按比例得分。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（二）产业发展（分值20分）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1.规上工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业企业培育（分值2分，由区工信局负责）。新投产入规1家企业得2分，老企业升规1家得1分，不封顶。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2.工业企业增资扩产（分值7分，由区工信局负责）。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（1）增资扩产投入情况（5分）。各乡镇、街道技术改造投资增长率（除新建外，投资总量和增速统一按4：6比例计分）。分小组排名，该组该项第一之后，每一名投资总量减0.32分、增速减0.48分 。若增速指标为负增长，该项得分为0分。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（2）增资扩产投产情况（2分）。各乡镇、街道增资扩产项目投产情况，投产一项省重点技改项目得0.5分，上限2分。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3.限上商贸企业培育（分值2分，由区商务局负责）。新增当年新投产限上商贸业企业1家得0.6分，限下转限上企业1家0.3分，不封顶；个体工商户1家0.1分，不超过6家。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4.规上服务业企业培育（分值2分，由区发改局负责）。新增当年新投产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规上服务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业企业1家得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分，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规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下转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规上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企业1家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分，不封顶。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5.固定资产投资项目入库（分值5分，由区发改局负责）。5000万元以下项目按个数折算5000万元以上项目，完成入库任务的得满分，未完成任务的按比例得分。每超过目标入库1个5000万元以上项目加0.5分，不封顶。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优质企业培育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（分值1分，由</w:t>
      </w:r>
      <w:r>
        <w:rPr>
          <w:rFonts w:hint="eastAsia" w:ascii="仿宋_GB2312" w:eastAsia="仿宋_GB2312" w:cs="仿宋_GB2312"/>
          <w:sz w:val="32"/>
          <w:szCs w:val="32"/>
        </w:rPr>
        <w:t>各行业主管部门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负责）。新增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单项冠军企业、专精特新企业、龙头企业、技术创新示范企业、新一代信息技术与制造业融合发展标杆企业、数据安全标杆企业、“独角兽”“瞪羚”企业、战略性新兴产业企业培育、高新技术企业、上市后备企业等，</w:t>
      </w:r>
      <w:r>
        <w:rPr>
          <w:rFonts w:hint="eastAsia" w:ascii="仿宋_GB2312" w:hAnsi="Times New Roman" w:eastAsia="仿宋_GB2312" w:cs="仿宋_GB2312"/>
          <w:sz w:val="32"/>
          <w:szCs w:val="32"/>
        </w:rPr>
        <w:t>每家企业得0.5分，不封顶。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宋体" w:hAnsi="宋体" w:eastAsia="仿宋_GB2312" w:cs="宋体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7.安全生产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（分值1分）。由</w:t>
      </w:r>
      <w:r>
        <w:rPr>
          <w:rFonts w:hint="eastAsia" w:ascii="仿宋_GB2312" w:eastAsia="仿宋_GB2312" w:cs="仿宋_GB2312"/>
          <w:sz w:val="32"/>
          <w:szCs w:val="32"/>
        </w:rPr>
        <w:t>区应急局</w:t>
      </w:r>
      <w:r>
        <w:rPr>
          <w:rFonts w:hint="eastAsia" w:ascii="仿宋_GB2312" w:hAnsi="Times New Roman" w:eastAsia="仿宋_GB2312" w:cs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（三）项目建设（分值25分，由区发改局负责）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1.项目谋划（分值</w:t>
      </w:r>
      <w:r>
        <w:rPr>
          <w:rFonts w:hint="eastAsia" w:ascii="仿宋_GB2312" w:hAnsi="Times New Roman" w:eastAsia="仿宋_GB2312" w:cs="楷体_GB2312"/>
          <w:sz w:val="32"/>
          <w:szCs w:val="32"/>
        </w:rPr>
        <w:t>15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分）。新谋划生成亿元以上项目（5分）、预算内项目（4分）、国债项目（3分）、“十五五”项目（</w:t>
      </w: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分）情况。完成任务的得满分，未完成任务的按比例得分。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2.项目开工（分值</w:t>
      </w:r>
      <w:r>
        <w:rPr>
          <w:rFonts w:hint="eastAsia" w:ascii="仿宋_GB2312" w:hAnsi="Times New Roman" w:eastAsia="仿宋_GB2312" w:cs="楷体_GB231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分）。以当年区级重点项目新开工项目数（2分）和新开工项目实际完成投资（2分）为计算指标，分别用功效系数法计算得分。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3.项目投资（分值4分）。区级重点项目投资分别以各乡镇、街道区重点项目年度计划投资（1分）、年度计划投资与总投资比例（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分）、投资完成率（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分）为计算指标，按功效系数法计算得分。提请协调事项（1分），以各乡镇、街道在时限内报送需省市协调事项情况为计算指标，未及时报送一个事项扣0.5分，扣完为止。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4.项目投产（分值</w:t>
      </w:r>
      <w:r>
        <w:rPr>
          <w:rFonts w:ascii="仿宋_GB2312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分）。以当年区级重点项目新投产项目数（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分）和新投产项目实际完成投资（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分）为计算指标，分别用功效系数法计算得分。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（四）招商项目（分值10分，由区商务局负责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1.招商项目谋划（4分）。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报送4个省、市级重点招商项目得4分，少于4个不得分，每多报送1个得0.5分。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招商项目转化</w:t>
      </w:r>
      <w:r>
        <w:rPr>
          <w:rFonts w:hint="eastAsia" w:ascii="仿宋_GB2312" w:hAnsi="Times New Roman" w:eastAsia="仿宋_GB2312" w:cs="仿宋_GB2312"/>
          <w:sz w:val="32"/>
          <w:szCs w:val="32"/>
        </w:rPr>
        <w:t>（6分）。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2023年以来签约未开工的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招商签约项目转化情况。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三、方案组织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ascii="仿宋_GB2312" w:hAnsi="Times New Roman" w:eastAsia="宋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（一）组织程序。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各负责单位按照职责分工，将一季度各乡镇、街道分项得分情况报送区“四领一促”工作领导小组办公室汇总，按得分高低进行排名。其中，第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一组：一等奖1名，二等奖1名；第二组：一等奖1名，二等奖1名；第三组：一等奖1名，二等奖1名。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获得一等奖的需得分在各镇街的前6名，二等奖需得分在各镇街的前9名，若各组有得分达不到要求的，取消相应奖项。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（二）结果运用。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一季度各乡镇、街道得分占比年终得分的20%。区委、区政府将根据一季度全区在全市考评情况，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对获得一、二等奖的乡镇、街道分别给</w:t>
      </w:r>
      <w:r>
        <w:rPr>
          <w:rFonts w:hint="eastAsia" w:ascii="仿宋_GB2312" w:hAnsi="Times New Roman" w:eastAsia="仿宋_GB2312" w:cs="仿宋_GB2312"/>
          <w:sz w:val="32"/>
          <w:szCs w:val="32"/>
        </w:rPr>
        <w:t>予10万元、5万元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的项目工作经费。</w:t>
      </w:r>
      <w:r>
        <w:rPr>
          <w:rFonts w:eastAsia="仿宋_GB2312"/>
          <w:sz w:val="32"/>
          <w:szCs w:val="20"/>
        </w:rPr>
        <w:t>若全区在市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“四领一促”</w:t>
      </w:r>
      <w:r>
        <w:rPr>
          <w:rFonts w:eastAsia="仿宋_GB2312"/>
          <w:sz w:val="32"/>
          <w:szCs w:val="20"/>
        </w:rPr>
        <w:t>工作考评小组第二，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20"/>
        </w:rPr>
        <w:t>工作</w:t>
      </w:r>
      <w:r>
        <w:rPr>
          <w:rFonts w:eastAsia="仿宋_GB2312"/>
          <w:sz w:val="32"/>
          <w:szCs w:val="20"/>
        </w:rPr>
        <w:t>经费减半</w:t>
      </w:r>
      <w:r>
        <w:rPr>
          <w:rFonts w:hint="eastAsia" w:eastAsia="仿宋_GB2312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（一）功效系数法：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础分占60%，某项得分=60%分值+[40%分值×（该项数值-最低数值）÷（最高数值-最低数值）]，四舍五入取小数点后两位。若全区正增长，则负增长的得0分，且不参与功效系数法。指标增量和增速统一按4：6比例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lang w:eastAsia="zh-CN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type="lines" w:linePitch="580" w:charSpace="0"/>
        </w:sect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（二）无指标的乡镇、街道按分值的54%得分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三元区2025年一季度“开门稳”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（区有关部门）</w:t>
      </w:r>
    </w:p>
    <w:p/>
    <w:p>
      <w:pPr>
        <w:spacing w:line="576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一、工作对象</w:t>
      </w:r>
    </w:p>
    <w:p>
      <w:pPr>
        <w:spacing w:line="576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eastAsia="仿宋_GB2312"/>
          <w:sz w:val="32"/>
          <w:szCs w:val="20"/>
        </w:rPr>
        <w:t>区委办</w:t>
      </w:r>
      <w:r>
        <w:rPr>
          <w:rFonts w:hint="eastAsia" w:eastAsia="仿宋_GB2312"/>
          <w:sz w:val="32"/>
          <w:szCs w:val="20"/>
        </w:rPr>
        <w:t>、</w:t>
      </w:r>
      <w:r>
        <w:rPr>
          <w:rFonts w:eastAsia="仿宋_GB2312"/>
          <w:sz w:val="32"/>
          <w:szCs w:val="20"/>
        </w:rPr>
        <w:t>区政府办（国资办）、发改局、科技局、工信局、财政局、自然资源局、住建局、商务局、林业局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二、工作内容</w:t>
      </w:r>
    </w:p>
    <w:p>
      <w:pPr>
        <w:spacing w:line="576" w:lineRule="exact"/>
        <w:ind w:firstLine="643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b/>
          <w:bCs/>
          <w:sz w:val="32"/>
          <w:szCs w:val="32"/>
        </w:rPr>
        <w:t>1.位次分（分值30分）。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以各部门得分在同组排名为依据，第1名得30分，并列第1名得20分，第2名得20分，并列第2名得10分，第3名不得分。负责多个指标的，以各指标的权重比例加权计分。</w:t>
      </w:r>
    </w:p>
    <w:p>
      <w:pPr>
        <w:spacing w:line="576" w:lineRule="exact"/>
        <w:ind w:firstLine="643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b/>
          <w:bCs/>
          <w:sz w:val="32"/>
          <w:szCs w:val="32"/>
        </w:rPr>
        <w:t>2.贡献分（分值30分）。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以各部门在市考评中负责指标总分挂钩（负责总分在15分及以上的基础分为30分，负责总分15分以下的基础分为2</w:t>
      </w:r>
      <w:r>
        <w:rPr>
          <w:rFonts w:ascii="仿宋_GB2312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分）。</w:t>
      </w:r>
    </w:p>
    <w:p>
      <w:pPr>
        <w:spacing w:line="576" w:lineRule="exact"/>
        <w:ind w:firstLine="643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b/>
          <w:bCs/>
          <w:sz w:val="32"/>
          <w:szCs w:val="32"/>
        </w:rPr>
        <w:t>3.</w:t>
      </w:r>
      <w:r>
        <w:rPr>
          <w:rFonts w:hint="eastAsia" w:ascii="仿宋_GB2312" w:hAnsi="Times New Roman" w:eastAsia="仿宋_GB2312" w:cs="楷体_GB2312"/>
          <w:b/>
          <w:bCs/>
          <w:sz w:val="32"/>
          <w:szCs w:val="32"/>
          <w:lang w:eastAsia="zh-CN"/>
        </w:rPr>
        <w:t>得分</w:t>
      </w:r>
      <w:r>
        <w:rPr>
          <w:rFonts w:hint="eastAsia" w:ascii="仿宋_GB2312" w:hAnsi="Times New Roman" w:eastAsia="仿宋_GB2312" w:cs="楷体_GB2312"/>
          <w:b/>
          <w:bCs/>
          <w:sz w:val="32"/>
          <w:szCs w:val="32"/>
        </w:rPr>
        <w:t>率（分值20分）。</w:t>
      </w:r>
      <w:r>
        <w:rPr>
          <w:rFonts w:hint="eastAsia" w:ascii="仿宋_GB2312" w:eastAsia="仿宋_GB2312"/>
          <w:sz w:val="32"/>
          <w:szCs w:val="20"/>
        </w:rPr>
        <w:t>以各指标牵头负责所有指标得分/指标总分的值为计算依据，用功效系数法计算得分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widowControl w:val="0"/>
        <w:spacing w:line="576" w:lineRule="exact"/>
        <w:ind w:firstLine="643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楷体_GB2312"/>
          <w:b/>
          <w:bCs/>
          <w:kern w:val="2"/>
          <w:sz w:val="32"/>
          <w:szCs w:val="32"/>
          <w:lang w:val="en-US" w:eastAsia="zh-CN" w:bidi="ar-SA"/>
        </w:rPr>
        <w:t>4.谋划项目（分值15分）。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新谋划生成亿元以上项目（3分）、预算内项目（3分）、专项债券（3分）、国债项目（3分）、“十五五”项目（3分）完成任务情况。完成任务的得满分，未完成任务的按比例得分。</w:t>
      </w:r>
    </w:p>
    <w:p>
      <w:pPr>
        <w:spacing w:line="576" w:lineRule="exact"/>
        <w:ind w:firstLine="643" w:firstLineChars="200"/>
        <w:rPr>
          <w:rFonts w:ascii="宋体" w:hAnsi="宋体" w:eastAsia="宋体" w:cs="宋体"/>
          <w:sz w:val="24"/>
          <w:szCs w:val="20"/>
        </w:rPr>
      </w:pPr>
      <w:r>
        <w:rPr>
          <w:rFonts w:hint="eastAsia" w:ascii="仿宋_GB2312" w:hAnsi="Times New Roman" w:eastAsia="仿宋_GB2312" w:cs="楷体_GB2312"/>
          <w:b/>
          <w:bCs/>
          <w:sz w:val="32"/>
          <w:szCs w:val="32"/>
        </w:rPr>
        <w:t>5.争取资金（分值5分）。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各部门</w:t>
      </w:r>
      <w:r>
        <w:rPr>
          <w:rFonts w:eastAsia="仿宋_GB2312"/>
          <w:sz w:val="32"/>
          <w:szCs w:val="20"/>
        </w:rPr>
        <w:t>争取市级及以上各类项目扶持资金（含捐赠）、 债券资金及国债资金等情况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三、方案组织</w:t>
      </w:r>
    </w:p>
    <w:p>
      <w:pPr>
        <w:pStyle w:val="2"/>
        <w:rPr>
          <w:rFonts w:hint="eastAsia" w:eastAsia="仿宋_GB2312"/>
          <w:sz w:val="32"/>
          <w:szCs w:val="20"/>
          <w:lang w:eastAsia="zh-CN"/>
        </w:rPr>
        <w:sectPr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type="lines" w:linePitch="580" w:charSpace="0"/>
        </w:sectPr>
      </w:pPr>
      <w:r>
        <w:rPr>
          <w:rFonts w:hint="eastAsia" w:ascii="仿宋_GB2312" w:hAnsi="Times New Roman" w:eastAsia="仿宋_GB2312" w:cs="仿宋_GB2312"/>
          <w:sz w:val="32"/>
          <w:szCs w:val="32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“四领一促”工作领导小组办公室</w:t>
      </w:r>
      <w:r>
        <w:rPr>
          <w:rFonts w:hint="eastAsia" w:ascii="仿宋_GB2312" w:hAnsi="Times New Roman" w:eastAsia="仿宋_GB2312" w:cs="仿宋_GB2312"/>
          <w:sz w:val="32"/>
          <w:szCs w:val="32"/>
        </w:rPr>
        <w:t>根据各部门一季度得分高低进行排名，并纳入年终绩效。区委、区政府将根据一季度全区在全市考评情况，对排名前四的部门给予表彰，一等奖1名，二等奖1名，三等奖2名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，分别给予</w:t>
      </w:r>
      <w:r>
        <w:rPr>
          <w:rFonts w:hint="eastAsia" w:ascii="仿宋_GB2312" w:hAnsi="Times New Roman" w:eastAsia="仿宋_GB2312" w:cs="仿宋_GB2312"/>
          <w:sz w:val="32"/>
          <w:szCs w:val="32"/>
        </w:rPr>
        <w:t>10万元、5万元、3万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元项目工作经费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  <w:r>
        <w:rPr>
          <w:rFonts w:eastAsia="仿宋_GB2312"/>
          <w:sz w:val="32"/>
          <w:szCs w:val="20"/>
        </w:rPr>
        <w:t>若全区在市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“四领一促”</w:t>
      </w:r>
      <w:r>
        <w:rPr>
          <w:rFonts w:eastAsia="仿宋_GB2312"/>
          <w:sz w:val="32"/>
          <w:szCs w:val="20"/>
        </w:rPr>
        <w:t>工作考评小组第二，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20"/>
        </w:rPr>
        <w:t>工作</w:t>
      </w:r>
      <w:r>
        <w:rPr>
          <w:rFonts w:eastAsia="仿宋_GB2312"/>
          <w:sz w:val="32"/>
          <w:szCs w:val="20"/>
        </w:rPr>
        <w:t>经费减半</w:t>
      </w:r>
      <w:r>
        <w:rPr>
          <w:rFonts w:hint="eastAsia" w:eastAsia="仿宋_GB2312"/>
          <w:sz w:val="32"/>
          <w:szCs w:val="20"/>
          <w:lang w:eastAsia="zh-CN"/>
        </w:rPr>
        <w:t>。</w:t>
      </w:r>
    </w:p>
    <w:p>
      <w:pPr>
        <w:pStyle w:val="5"/>
        <w:spacing w:line="576" w:lineRule="exact"/>
        <w:rPr>
          <w:rFonts w:ascii="Times New Roman" w:hAnsi="Times New Roman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附表</w:t>
      </w:r>
    </w:p>
    <w:p>
      <w:pPr>
        <w:snapToGrid w:val="0"/>
        <w:spacing w:line="576" w:lineRule="exact"/>
        <w:jc w:val="left"/>
        <w:rPr>
          <w:rFonts w:ascii="Times New Roman" w:hAnsi="Times New Roman" w:eastAsia="宋体"/>
          <w:sz w:val="21"/>
          <w:szCs w:val="24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市对区“四领一促”工作指标责任表</w:t>
      </w:r>
    </w:p>
    <w:p>
      <w:pPr>
        <w:snapToGrid w:val="0"/>
        <w:spacing w:line="576" w:lineRule="exact"/>
        <w:jc w:val="left"/>
        <w:rPr>
          <w:rFonts w:ascii="Times New Roman" w:hAnsi="Times New Roman" w:eastAsia="宋体"/>
          <w:sz w:val="21"/>
          <w:szCs w:val="2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1"/>
        <w:gridCol w:w="4111"/>
        <w:gridCol w:w="1250"/>
        <w:gridCol w:w="22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5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pacing w:val="11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11"/>
                <w:sz w:val="22"/>
                <w:szCs w:val="28"/>
              </w:rPr>
              <w:t>指标名称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sz w:val="22"/>
                <w:szCs w:val="22"/>
              </w:rPr>
              <w:t>分值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sz w:val="22"/>
                <w:szCs w:val="22"/>
              </w:rPr>
              <w:t>责任单位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工业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规上工业增加值增长率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5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工信局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规上工业企业培育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工业企业增资扩产</w:t>
            </w:r>
          </w:p>
        </w:tc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5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产业发展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产业链发展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4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战略性新兴产业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2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研发投入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2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高新技术企业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1.5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优质企业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1.5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发改局、工信局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建筑业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36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36"/>
              </w:rPr>
              <w:t>资质等级建筑业企业培育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住建局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36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36"/>
              </w:rPr>
              <w:t>建筑业企业合同工程量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2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商贸业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36"/>
              </w:rPr>
              <w:t>社会消费品零售总额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增长率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4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商务局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36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限上商贸企业培育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招商引资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招商项目签约转化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24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服务业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8"/>
              </w:rPr>
              <w:t>服务业增加值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增长率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5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发改局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规上服务业企业培育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项目工作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项目建设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20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固定资产投资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增长率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4</w:t>
            </w:r>
          </w:p>
        </w:tc>
        <w:tc>
          <w:tcPr>
            <w:tcW w:w="2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财政工作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8"/>
              </w:rPr>
              <w:t>地方一般公共预算收入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增长率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5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金融工作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上市企业培育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国资办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8"/>
              </w:rPr>
              <w:t>要素保障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用林保障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林业局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用地保障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2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自然资源局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8"/>
              </w:rPr>
              <w:t>资金争取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3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政策争取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发改局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8"/>
              </w:rPr>
              <w:t>深化改革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spacing w:val="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sz w:val="22"/>
                <w:szCs w:val="22"/>
              </w:rPr>
              <w:t>3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区委办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type="lines" w:linePitch="580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三元区2025年一季度“开门稳”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（区属国企）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一、工作对象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4" w:firstLineChars="200"/>
        <w:rPr>
          <w:rFonts w:ascii="Times New Roman" w:hAnsi="Times New Roman" w:eastAsia="仿宋_GB2312" w:cs="仿宋_GB2312"/>
          <w:color w:val="000000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</w:rPr>
        <w:t>三元区城发集团、三元区建发集团、三元区农林集团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二、工作内容（总分值100分）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rPr>
          <w:rFonts w:ascii="Times New Roman" w:hAnsi="Times New Roman" w:eastAsia="楷体_GB2312" w:cs="楷体_GB2312"/>
          <w:b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 w:val="0"/>
          <w:sz w:val="32"/>
          <w:szCs w:val="32"/>
        </w:rPr>
        <w:t>（一）项目策划情况（分值</w:t>
      </w:r>
      <w:r>
        <w:rPr>
          <w:rFonts w:hint="eastAsia" w:ascii="仿宋_GB2312" w:hAnsi="Times New Roman" w:eastAsia="仿宋_GB2312" w:cs="楷体_GB2312"/>
          <w:b/>
          <w:bCs w:val="0"/>
          <w:sz w:val="32"/>
          <w:szCs w:val="32"/>
        </w:rPr>
        <w:t>15</w:t>
      </w:r>
      <w:r>
        <w:rPr>
          <w:rFonts w:hint="eastAsia" w:ascii="Times New Roman" w:hAnsi="Times New Roman" w:eastAsia="楷体_GB2312" w:cs="楷体_GB2312"/>
          <w:b/>
          <w:bCs w:val="0"/>
          <w:sz w:val="32"/>
          <w:szCs w:val="32"/>
        </w:rPr>
        <w:t>分，由区发改局负责）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rPr>
          <w:rFonts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当年新策划生成专项债券项目（5分）、预算内项目（5分）、国债项目（5分）完成任务情况。完成任务的得满分，未完成任务的按比例得分。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rPr>
          <w:rFonts w:ascii="楷体_GB2312" w:hAnsi="Times New Roman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highlight w:val="none"/>
        </w:rPr>
        <w:t>固定资产投资（分值</w:t>
      </w:r>
      <w:r>
        <w:rPr>
          <w:rFonts w:hint="eastAsia" w:ascii="仿宋_GB2312" w:hAnsi="Times New Roman" w:eastAsia="仿宋_GB2312" w:cs="楷体_GB2312"/>
          <w:b/>
          <w:bCs/>
          <w:sz w:val="32"/>
          <w:szCs w:val="32"/>
          <w:highlight w:val="none"/>
        </w:rPr>
        <w:t>25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highlight w:val="none"/>
        </w:rPr>
        <w:t>分，由区发改局负责）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ascii="仿宋_GB2312" w:hAnsi="Times New Roman" w:eastAsia="仿宋_GB2312"/>
          <w:sz w:val="32"/>
          <w:szCs w:val="20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1.当年新增入统投资项目数（分值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15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分）。以国企为业主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单位、代建单位及施工单位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的所有固投项目数为计算指标，完成入库目标的，得满分；未完成的，按比例计算得分。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2.投资完成情况（分值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分）。以国企为业主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单位、代建单位及施工单位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的所有固投项目完成投资额为计算指标，完成预期目标的，得满分；未完成的，按比例计算得分。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rPr>
          <w:rFonts w:ascii="楷体_GB2312" w:hAnsi="Times New Roman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highlight w:val="none"/>
        </w:rPr>
        <w:t>企业成长（分值</w:t>
      </w:r>
      <w:r>
        <w:rPr>
          <w:rFonts w:hint="eastAsia" w:ascii="仿宋_GB2312" w:hAnsi="Times New Roman" w:eastAsia="仿宋_GB2312" w:cs="楷体_GB2312"/>
          <w:b/>
          <w:bCs/>
          <w:sz w:val="32"/>
          <w:szCs w:val="32"/>
          <w:highlight w:val="none"/>
        </w:rPr>
        <w:t>60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highlight w:val="none"/>
        </w:rPr>
        <w:t>分，由区国资办负责）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ascii="楷体_GB2312" w:hAnsi="Times New Roman" w:eastAsia="楷体_GB2312" w:cs="楷体_GB2312"/>
          <w:bCs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以国有企业的营业收入、贸易额、管理费用、工资总额、三重一大、人力资源管理、安全生产为指标，按评分细则计算得分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三、方案组织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各负责单位按照职责分工，将国企得分情况报送区“四领一促”工作领导小组办公室汇总。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一季度得分占比年终得分权重的20%。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Bdr>
          <w:bottom w:val="none" w:color="auto" w:sz="0" w:space="0"/>
        </w:pBdr>
      </w:pPr>
    </w:p>
    <w:p>
      <w:pPr>
        <w:pBdr>
          <w:bottom w:val="none" w:color="auto" w:sz="0" w:space="0"/>
        </w:pBd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三元区人民政府办公室                    2025年1月23日印发</w:t>
      </w:r>
    </w:p>
    <w:sectPr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GI3NjFhYjZlYzZiN2I1M2FmNjVkMDc1NjFmMGYifQ=="/>
  </w:docVars>
  <w:rsids>
    <w:rsidRoot w:val="F6FFDBF4"/>
    <w:rsid w:val="3A785986"/>
    <w:rsid w:val="3FB701F4"/>
    <w:rsid w:val="57E558C1"/>
    <w:rsid w:val="5E7F758E"/>
    <w:rsid w:val="6B63324D"/>
    <w:rsid w:val="73DF7F1F"/>
    <w:rsid w:val="7FA607F4"/>
    <w:rsid w:val="EFDFF508"/>
    <w:rsid w:val="F6FFD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styleId="3">
    <w:name w:val="Date"/>
    <w:next w:val="1"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paragraph" w:styleId="4">
    <w:name w:val="endnote text"/>
    <w:basedOn w:val="1"/>
    <w:qFormat/>
    <w:uiPriority w:val="0"/>
    <w:pPr>
      <w:snapToGrid w:val="0"/>
      <w:jc w:val="left"/>
    </w:pPr>
    <w:rPr>
      <w:rFonts w:ascii="Times New Roman" w:hAnsi="Times New Roman"/>
    </w:rPr>
  </w:style>
  <w:style w:type="paragraph" w:styleId="5">
    <w:name w:val="Balloon Text"/>
    <w:basedOn w:val="1"/>
    <w:next w:val="4"/>
    <w:qFormat/>
    <w:uiPriority w:val="0"/>
    <w:rPr>
      <w:rFonts w:ascii="Times New Roman" w:hAnsi="Times New Roman"/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2025-01-24T15:57:00Z</dcterms:created>
  <dc:creator>admin</dc:creator>
  <cp:lastModifiedBy>政府办文印室</cp:lastModifiedBy>
  <cp:lastPrinted>2025-01-27T03:17:44Z</cp:lastPrinted>
  <dcterms:modified xsi:type="dcterms:W3CDTF">2025-01-27T03:18:23Z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D8F0764ABC584AC6BFA54A0A54A8891D_13</vt:lpwstr>
  </property>
</Properties>
</file>