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/>
          <w:color w:val="000000"/>
          <w:kern w:val="0"/>
          <w:sz w:val="31"/>
          <w:szCs w:val="31"/>
        </w:rPr>
        <w:t xml:space="preserve">附件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三元区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农村生活污水处理设施运行维护管理工作考核评分表</w:t>
      </w:r>
    </w:p>
    <w:p>
      <w:pPr>
        <w:pStyle w:val="7"/>
        <w:spacing w:line="240" w:lineRule="exact"/>
        <w:ind w:firstLine="640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40"/>
        <w:gridCol w:w="3975"/>
        <w:gridCol w:w="714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ascii="黑体" w:hAnsi="宋体"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ascii="黑体" w:hAnsi="宋体" w:eastAsia="黑体"/>
                <w:color w:val="000000"/>
                <w:kern w:val="0"/>
                <w:sz w:val="24"/>
              </w:rPr>
              <w:t>目标要求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管理制度 （20 分）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sz w:val="18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1.各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乡（镇）、街道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制定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相关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制度并执行到位。</w:t>
            </w:r>
          </w:p>
          <w:p>
            <w:pPr>
              <w:widowControl/>
              <w:spacing w:line="240" w:lineRule="exact"/>
              <w:rPr>
                <w:sz w:val="18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2.村级组织配合管理。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各乡（镇）、街道建立监督检查机制，每季度不少于1次对第三方运维及镇村自管的农村生活污水处理设施进行检查，年底进行1次考核；</w:t>
            </w:r>
          </w:p>
          <w:p>
            <w:pPr>
              <w:widowControl/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4.第三方运维公司制定日常运维管理制度。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各乡（镇）、街道制定巡查制度，对设施运维管理情况检查每月不少于1次，对发现问题及时督促整改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（5分）；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明确分管领导、部门、专管员、各行政村具体负责人;设立投诉电话并由专人负责受理、记录并反馈处理结果。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（5 分） </w:t>
            </w: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村级组织把污水设施运行维护管理纳入村规民约，至少配备一名兼职协管员。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各乡（镇）、街道建立监督检查机制，每季度不少于1次对第三方运维及镇村自管的农村生活污水处理设施进行检查，年底进行1次考核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4.第三方运维公司制定日常运维管理制度（3分）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分项合计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7"/>
              <w:spacing w:line="2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工作实效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（70 分）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1.管网系统维护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收集网管配套，雨污分流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农户接口端接入正常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管网完好、通畅、无破损，使用正常；井、井盖及格栅网有巡查和检修记录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（15分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（每个乡（镇）)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抽检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4个村（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4个全部抽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每个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5个检查井作为评分样本，每发现一处雨污不分、破损、井 内堵塞等问题扣0.5 分，每发现一处管网损漏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0.5分，扣完为止)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2.终端设备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随机抽查4套终端（不足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套全部抽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。终端有不少于规定次数的巡查、检查、养护、维修记录。终端设备完好、运行正常。终端区域范围内环境整洁，无杂物堆放；人工湿地植物生长良好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维护良好。（2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分，每套终端7分）具体：运行维护单位提供抽查终端的运行维护记录，共1分，无记录按比例扣分，记录不完整的根据完整程度百分比扣分；现场查看被抽检终端，终端运行不正常，扣4分；现场查看终端区域范围内环境整洁程度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共1分，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有杂物堆放，扣1分；现场查看人工湿地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植物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生长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共 1分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植物生长不好、维护不良，根据程度百分比扣分。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40"/>
        <w:gridCol w:w="3975"/>
        <w:gridCol w:w="714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ascii="黑体" w:hAnsi="宋体"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ascii="黑体" w:hAnsi="宋体" w:eastAsia="黑体"/>
                <w:color w:val="000000"/>
                <w:kern w:val="0"/>
                <w:sz w:val="24"/>
              </w:rPr>
              <w:t>目标要求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工作实效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（70 分）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3.出水水质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以生态环境部门或指定第三方抽查监测结果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以年度监测达标数 量百分比计。达标率≥95%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得20分，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95%＞达标率≥85%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得18分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85%＞达标率≥70%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得15分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70%＞达标率不得分。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4.基础信息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建立设施基础信息库（台账）（2分）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运行维护日常监督管理信息库（台账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（2分）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5.信息报送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及时向上级部门报送相关工作信息及材料（3 分）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分项合计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社会综合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评价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1.发生群体性信访事件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2.区级主管部门及以上通报批评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3.市级及以上新闻媒体负面报道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4.发生运行维护有关的重大安全事故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5.出水水质检测综合合格率不合格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按规定发放问卷计算满意度（10分），以下为扣分项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扣完为止。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发生群体性信访事件一次扣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2分。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级通报批评每次扣1分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市级通报批评每次扣2分，省级通报批评每次扣3分。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级主管部门通报批评每次扣0.5分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市级主管部门通报批评每次扣1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分，省级主管部门通报批评每次扣1.5分。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市级新闻媒体负面报道扣1分，省级新闻媒体负面报道扣2分。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5.发生重大安全事故的扣10分。</w:t>
            </w:r>
          </w:p>
          <w:p>
            <w:pPr>
              <w:pStyle w:val="7"/>
              <w:spacing w:line="240" w:lineRule="exact"/>
              <w:ind w:firstLine="0" w:firstLineChars="0"/>
              <w:jc w:val="left"/>
            </w:pPr>
            <w:r>
              <w:rPr>
                <w:rFonts w:hint="eastAsia" w:hAnsi="仿宋_GB2312"/>
                <w:color w:val="000000"/>
                <w:kern w:val="0"/>
                <w:sz w:val="21"/>
                <w:szCs w:val="21"/>
              </w:rPr>
              <w:t>*6.出水水质检测综合合格率不合格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分项合计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加分情况 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市级及以上主流媒体正面报道、经验交流发言、现场会等。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1.市级主流媒体正面报道加0.5分，省级以上主流媒体正面报道加1分。（加分最高为1分）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2.市级经验交流发言的加0.5分，省级及以上经验交流发言的加1分。（加分最高为1分）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3.市级现场会加1分，省级现场会加2分。（加分最高为2分） 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4.市级领导批示加0.5分，省级及以上领导批示加1分。（加分最高为1分）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分项合计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967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17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综合评估：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不合格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1476" w:hanging="1476" w:hangingChars="7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综合评估标准：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1.考核等次分合格、不合格两档。分值在 75 分(含)以上的为合格；分值为在 75 分以下的为不合格。考核等次为不合格的乡（镇）扣除下一年度第三方运行维护工作经费的百分之十，扣除的工作经费由乡（镇）自筹。</w:t>
            </w:r>
          </w:p>
          <w:p>
            <w:pPr>
              <w:widowControl/>
              <w:spacing w:line="240" w:lineRule="exact"/>
              <w:ind w:firstLine="1470" w:firstLineChars="700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2.打“*”项为否决项，即该项不得分，则综合评估不合格。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新正文"/>
    <w:basedOn w:val="2"/>
    <w:qFormat/>
    <w:uiPriority w:val="99"/>
    <w:pPr>
      <w:ind w:firstLine="200" w:firstLineChars="200"/>
    </w:pPr>
    <w:rPr>
      <w:rFonts w:ascii="仿宋_GB2312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2021-01-18T05:48:03Z</dcterms:created>
  <dc:creator>Administrator</dc:creator>
  <cp:lastModifiedBy>%E9%98%BF%E9%A3%9E</cp:lastModifiedBy>
  <dcterms:modified xsi:type="dcterms:W3CDTF">2021-01-18T05:48:11Z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