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C073">
      <w:pPr>
        <w:spacing w:line="620" w:lineRule="exact"/>
        <w:jc w:val="center"/>
        <w:textAlignment w:val="baseline"/>
        <w:rPr>
          <w:rFonts w:hint="eastAsia" w:ascii="方正小标宋简体" w:hAnsi="方正小标宋简体" w:eastAsia="方正小标宋简体"/>
          <w:color w:val="000000"/>
          <w:sz w:val="44"/>
        </w:rPr>
      </w:pPr>
    </w:p>
    <w:p w14:paraId="070A20BA">
      <w:pPr>
        <w:spacing w:line="1100" w:lineRule="exact"/>
        <w:textAlignment w:val="baseline"/>
        <w:rPr>
          <w:rFonts w:ascii="方正小标宋简体" w:hAnsi="方正小标宋简体" w:eastAsia="方正小标宋简体"/>
          <w:color w:val="FF0000"/>
          <w:sz w:val="72"/>
        </w:rPr>
      </w:pPr>
      <w:r>
        <w:rPr>
          <w:color w:val="FF0000"/>
        </w:rPr>
        <mc:AlternateContent>
          <mc:Choice Requires="wps">
            <w:drawing>
              <wp:anchor distT="0" distB="0" distL="0" distR="0" simplePos="0" relativeHeight="251659264" behindDoc="0" locked="0" layoutInCell="1" allowOverlap="1">
                <wp:simplePos x="0" y="0"/>
                <wp:positionH relativeFrom="column">
                  <wp:posOffset>4517390</wp:posOffset>
                </wp:positionH>
                <wp:positionV relativeFrom="paragraph">
                  <wp:posOffset>304165</wp:posOffset>
                </wp:positionV>
                <wp:extent cx="1514475" cy="1123950"/>
                <wp:effectExtent l="5080" t="4445" r="4445" b="14605"/>
                <wp:wrapNone/>
                <wp:docPr id="1026" name="Quark Shape 1"/>
                <wp:cNvGraphicFramePr/>
                <a:graphic xmlns:a="http://schemas.openxmlformats.org/drawingml/2006/main">
                  <a:graphicData uri="http://schemas.microsoft.com/office/word/2010/wordprocessingShape">
                    <wps:wsp>
                      <wps:cNvSpPr/>
                      <wps:spPr>
                        <a:xfrm>
                          <a:off x="0" y="0"/>
                          <a:ext cx="1514475" cy="11239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371A543">
                            <w:pPr>
                              <w:spacing w:line="240" w:lineRule="auto"/>
                              <w:rPr>
                                <w:rFonts w:ascii="方正小标宋简体" w:hAnsi="方正小标宋简体" w:eastAsia="方正小标宋简体"/>
                                <w:sz w:val="72"/>
                              </w:rPr>
                            </w:pPr>
                            <w:r>
                              <w:rPr>
                                <w:rFonts w:hint="eastAsia" w:ascii="方正小标宋简体" w:hAnsi="方正小标宋简体" w:eastAsia="方正小标宋简体"/>
                                <w:color w:val="FF0000"/>
                                <w:sz w:val="72"/>
                                <w:szCs w:val="72"/>
                              </w:rPr>
                              <w:t>文件</w:t>
                            </w:r>
                          </w:p>
                        </w:txbxContent>
                      </wps:txbx>
                      <wps:bodyPr vert="horz" wrap="square" anchor="t" upright="1"/>
                    </wps:wsp>
                  </a:graphicData>
                </a:graphic>
              </wp:anchor>
            </w:drawing>
          </mc:Choice>
          <mc:Fallback>
            <w:pict>
              <v:rect id="Quark Shape 1" o:spid="_x0000_s1026" o:spt="1" style="position:absolute;left:0pt;margin-left:355.7pt;margin-top:23.95pt;height:88.5pt;width:119.25pt;z-index:251659264;mso-width-relative:page;mso-height-relative:page;" fillcolor="#FFFFFF" filled="t" stroked="t" coordsize="21600,21600" o:gfxdata="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7ettdgAAAAKAQAADwAAAAAAAAAB&#10;ACAAAAAiAAAAZHJzL2Rvd25yZXYueG1sUEsBAhQAFAAAAAgAh07iQN79TrgQAgAAVwQAAA4AAAAA&#10;AAAAAQAgAAAAJwEAAGRycy9lMm9Eb2MueG1sUEsFBgAAAAAGAAYAWQEAAKkFAAAAAA==&#10;">
                <v:fill on="t" focussize="0,0"/>
                <v:stroke color="#FFFFFF" joinstyle="miter"/>
                <v:imagedata o:title=""/>
                <o:lock v:ext="edit" aspectratio="f"/>
                <v:textbox>
                  <w:txbxContent>
                    <w:p w14:paraId="1371A543">
                      <w:pPr>
                        <w:spacing w:line="240" w:lineRule="auto"/>
                        <w:rPr>
                          <w:rFonts w:ascii="方正小标宋简体" w:hAnsi="方正小标宋简体" w:eastAsia="方正小标宋简体"/>
                          <w:sz w:val="72"/>
                        </w:rPr>
                      </w:pPr>
                      <w:r>
                        <w:rPr>
                          <w:rFonts w:hint="eastAsia" w:ascii="方正小标宋简体" w:hAnsi="方正小标宋简体" w:eastAsia="方正小标宋简体"/>
                          <w:color w:val="FF0000"/>
                          <w:sz w:val="72"/>
                          <w:szCs w:val="72"/>
                        </w:rPr>
                        <w:t>文件</w:t>
                      </w:r>
                    </w:p>
                  </w:txbxContent>
                </v:textbox>
              </v:rect>
            </w:pict>
          </mc:Fallback>
        </mc:AlternateContent>
      </w:r>
      <w:r>
        <w:rPr>
          <w:rFonts w:hint="eastAsia" w:ascii="方正小标宋简体" w:hAnsi="方正小标宋简体" w:eastAsia="方正小标宋简体"/>
          <w:color w:val="FF0000"/>
          <w:spacing w:val="77"/>
          <w:sz w:val="72"/>
          <w:szCs w:val="36"/>
          <w:lang w:eastAsia="zh-CN"/>
        </w:rPr>
        <w:t>三元</w:t>
      </w:r>
      <w:r>
        <w:rPr>
          <w:rFonts w:hint="eastAsia" w:ascii="方正小标宋简体" w:hAnsi="方正小标宋简体" w:eastAsia="方正小标宋简体"/>
          <w:color w:val="FF0000"/>
          <w:spacing w:val="77"/>
          <w:sz w:val="72"/>
          <w:szCs w:val="36"/>
          <w:lang w:val="en-US" w:eastAsia="zh-CN"/>
        </w:rPr>
        <w:t>区农业农村</w:t>
      </w:r>
      <w:r>
        <w:rPr>
          <w:rFonts w:hint="eastAsia" w:ascii="方正小标宋简体" w:hAnsi="方正小标宋简体" w:eastAsia="方正小标宋简体"/>
          <w:color w:val="FF0000"/>
          <w:spacing w:val="77"/>
          <w:sz w:val="72"/>
          <w:szCs w:val="36"/>
        </w:rPr>
        <w:t>局</w:t>
      </w:r>
    </w:p>
    <w:p w14:paraId="C2FB0853">
      <w:pPr>
        <w:spacing w:line="1100" w:lineRule="exact"/>
        <w:textAlignment w:val="baseline"/>
        <w:rPr>
          <w:rFonts w:ascii="方正小标宋简体" w:hAnsi="方正小标宋简体" w:eastAsia="方正小标宋简体"/>
          <w:color w:val="FF0000"/>
          <w:sz w:val="96"/>
        </w:rPr>
      </w:pPr>
      <w:r>
        <w:rPr>
          <w:rFonts w:hint="eastAsia" w:ascii="方正小标宋简体" w:hAnsi="方正小标宋简体" w:eastAsia="方正小标宋简体"/>
          <w:color w:val="FF0000"/>
          <w:spacing w:val="253"/>
          <w:sz w:val="72"/>
          <w:szCs w:val="36"/>
          <w:lang w:eastAsia="zh-CN"/>
        </w:rPr>
        <w:t>三元</w:t>
      </w:r>
      <w:r>
        <w:rPr>
          <w:rFonts w:hint="eastAsia" w:ascii="方正小标宋简体" w:hAnsi="方正小标宋简体" w:eastAsia="方正小标宋简体"/>
          <w:color w:val="FF0000"/>
          <w:spacing w:val="253"/>
          <w:sz w:val="72"/>
          <w:szCs w:val="36"/>
          <w:lang w:val="en-US" w:eastAsia="zh-CN"/>
        </w:rPr>
        <w:t>区</w:t>
      </w:r>
      <w:r>
        <w:rPr>
          <w:rFonts w:hint="eastAsia" w:ascii="方正小标宋简体" w:hAnsi="方正小标宋简体" w:eastAsia="方正小标宋简体"/>
          <w:color w:val="FF0000"/>
          <w:spacing w:val="253"/>
          <w:sz w:val="72"/>
          <w:szCs w:val="36"/>
        </w:rPr>
        <w:t>财政局</w:t>
      </w:r>
    </w:p>
    <w:p w14:paraId="8A4E4A30">
      <w:pPr>
        <w:spacing w:line="620" w:lineRule="exact"/>
        <w:jc w:val="center"/>
        <w:textAlignment w:val="baseline"/>
        <w:rPr>
          <w:rFonts w:ascii="方正小标宋简体" w:hAnsi="方正小标宋简体" w:eastAsia="方正小标宋简体"/>
          <w:color w:val="000000"/>
          <w:sz w:val="44"/>
        </w:rPr>
      </w:pPr>
    </w:p>
    <w:p w14:paraId="D6D916F1">
      <w:pPr>
        <w:spacing w:line="580" w:lineRule="exact"/>
        <w:jc w:val="center"/>
        <w:textAlignment w:val="baseline"/>
        <w:rPr>
          <w:rFonts w:ascii="方正小标宋简体" w:hAnsi="方正小标宋简体" w:eastAsia="方正小标宋简体"/>
          <w:color w:val="000000"/>
          <w:sz w:val="44"/>
        </w:rPr>
      </w:pPr>
    </w:p>
    <w:p w14:paraId="B693F4B5">
      <w:pPr>
        <w:tabs>
          <w:tab w:val="left" w:pos="828"/>
        </w:tabs>
        <w:spacing w:line="590" w:lineRule="exact"/>
        <w:jc w:val="center"/>
        <w:rPr>
          <w:rFonts w:ascii="仿宋_GB2312" w:hAnsi="仿宋_GB2312" w:eastAsia="仿宋_GB2312"/>
          <w:color w:val="000000"/>
          <w:sz w:val="32"/>
        </w:rPr>
      </w:pPr>
      <w:r>
        <w:rPr>
          <w:rFonts w:hint="eastAsia" w:ascii="仿宋_GB2312" w:hAnsi="仿宋_GB2312" w:eastAsia="仿宋_GB2312"/>
          <w:color w:val="000000"/>
          <w:sz w:val="32"/>
          <w:szCs w:val="32"/>
          <w:lang w:val="en-US" w:eastAsia="zh-CN"/>
        </w:rPr>
        <w:t>元农</w:t>
      </w:r>
      <w:r>
        <w:rPr>
          <w:rFonts w:hint="eastAsia" w:ascii="仿宋_GB2312" w:hAnsi="仿宋_GB2312"/>
          <w:color w:val="000000"/>
          <w:sz w:val="32"/>
          <w:szCs w:val="32"/>
          <w:lang w:val="en-US" w:eastAsia="zh-CN"/>
        </w:rPr>
        <w:t>规</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202</w:t>
      </w:r>
      <w:r>
        <w:rPr>
          <w:rFonts w:hint="eastAsia" w:ascii="仿宋_GB2312" w:hAnsi="仿宋_GB2312"/>
          <w:color w:val="000000"/>
          <w:sz w:val="32"/>
          <w:szCs w:val="32"/>
          <w:lang w:val="en-US" w:eastAsia="zh-CN"/>
        </w:rPr>
        <w:t>5</w:t>
      </w:r>
      <w:r>
        <w:rPr>
          <w:rFonts w:hint="eastAsia" w:ascii="仿宋_GB2312" w:hAnsi="仿宋_GB2312" w:eastAsia="仿宋_GB2312"/>
          <w:color w:val="000000"/>
          <w:sz w:val="32"/>
          <w:szCs w:val="32"/>
        </w:rPr>
        <w:t>〕</w:t>
      </w:r>
      <w:r>
        <w:rPr>
          <w:rFonts w:hint="eastAsia" w:ascii="仿宋_GB2312" w:hAnsi="仿宋_GB2312"/>
          <w:color w:val="000000"/>
          <w:sz w:val="32"/>
          <w:szCs w:val="32"/>
          <w:lang w:val="en-US" w:eastAsia="zh-CN"/>
        </w:rPr>
        <w:t xml:space="preserve">2 </w:t>
      </w:r>
      <w:r>
        <w:rPr>
          <w:rFonts w:hint="eastAsia" w:ascii="仿宋_GB2312" w:hAnsi="仿宋_GB2312" w:eastAsia="仿宋_GB2312"/>
          <w:color w:val="000000"/>
          <w:sz w:val="32"/>
          <w:szCs w:val="32"/>
        </w:rPr>
        <w:t>号</w:t>
      </w:r>
    </w:p>
    <w:p w14:paraId="FEEDBEA1">
      <w:pPr>
        <w:tabs>
          <w:tab w:val="left" w:pos="828"/>
        </w:tabs>
        <w:spacing w:line="590" w:lineRule="exact"/>
        <w:jc w:val="both"/>
        <w:rPr>
          <w:rFonts w:hint="eastAsia" w:ascii="方正小标宋简体" w:eastAsia="方正小标宋简体"/>
          <w:sz w:val="44"/>
        </w:rPr>
      </w:pPr>
      <w:r>
        <w:rPr>
          <w:color w:val="000000"/>
        </w:rPr>
        <mc:AlternateContent>
          <mc:Choice Requires="wps">
            <w:drawing>
              <wp:anchor distT="0" distB="0" distL="0" distR="0" simplePos="0" relativeHeight="251659264" behindDoc="0" locked="0" layoutInCell="1" allowOverlap="1">
                <wp:simplePos x="0" y="0"/>
                <wp:positionH relativeFrom="column">
                  <wp:posOffset>-96520</wp:posOffset>
                </wp:positionH>
                <wp:positionV relativeFrom="paragraph">
                  <wp:posOffset>34925</wp:posOffset>
                </wp:positionV>
                <wp:extent cx="5819775" cy="9525"/>
                <wp:effectExtent l="0" t="0" r="0" b="0"/>
                <wp:wrapNone/>
                <wp:docPr id="1027" name="Quark Shape 2"/>
                <wp:cNvGraphicFramePr/>
                <a:graphic xmlns:a="http://schemas.openxmlformats.org/drawingml/2006/main">
                  <a:graphicData uri="http://schemas.microsoft.com/office/word/2010/wordprocessingShape">
                    <wps:wsp>
                      <wps:cNvCnPr/>
                      <wps:spPr>
                        <a:xfrm flipV="1">
                          <a:off x="0" y="0"/>
                          <a:ext cx="5819775" cy="9525"/>
                        </a:xfrm>
                        <a:prstGeom prst="line">
                          <a:avLst/>
                        </a:prstGeom>
                        <a:ln w="25400" cap="flat" cmpd="sng">
                          <a:solidFill>
                            <a:srgbClr val="FF0000"/>
                          </a:solidFill>
                          <a:prstDash val="solid"/>
                          <a:round/>
                          <a:headEnd type="none" w="med" len="med"/>
                          <a:tailEnd type="none" w="med" len="med"/>
                        </a:ln>
                      </wps:spPr>
                      <wps:bodyPr/>
                    </wps:wsp>
                  </a:graphicData>
                </a:graphic>
              </wp:anchor>
            </w:drawing>
          </mc:Choice>
          <mc:Fallback>
            <w:pict>
              <v:line id="Quark Shape 2" o:spid="_x0000_s1026" o:spt="20" style="position:absolute;left:0pt;flip:y;margin-left:-7.6pt;margin-top:2.75pt;height:0.75pt;width:458.25pt;z-index:251659264;mso-width-relative:page;mso-height-relative:page;" filled="f" stroked="t" coordsize="21600,21600" o:gfxdata="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vqH9QA&#10;AAAHAQAADwAAAAAAAAABACAAAAAiAAAAZHJzL2Rvd25yZXYueG1sUEsBAhQAFAAAAAgAh07iQM1p&#10;TL/qAQAA7wMAAA4AAAAAAAAAAQAgAAAAIwEAAGRycy9lMm9Eb2MueG1sUEsFBgAAAAAGAAYAWQEA&#10;AH8FAAAAAA==&#10;">
                <v:fill on="f" focussize="0,0"/>
                <v:stroke weight="2pt" color="#FF0000" joinstyle="round"/>
                <v:imagedata o:title=""/>
                <o:lock v:ext="edit" aspectratio="f"/>
              </v:line>
            </w:pict>
          </mc:Fallback>
        </mc:AlternateContent>
      </w:r>
    </w:p>
    <w:p w14:paraId="34EEBF85">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三元区农业农村局 三元区财政局关于印发2025年</w:t>
      </w:r>
    </w:p>
    <w:p w14:paraId="EF139A79">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三元区耕地地力保护补贴工作方案的通知</w:t>
      </w:r>
    </w:p>
    <w:p w14:paraId="97DF34D3">
      <w:pPr>
        <w:rPr>
          <w:rFonts w:hint="eastAsia" w:ascii="仿宋_GB2312" w:hAnsi="仿宋_GB2312" w:eastAsia="仿宋_GB2312" w:cs="仿宋_GB2312"/>
          <w:color w:val="auto"/>
          <w:lang w:val="en-US" w:eastAsia="zh-CN"/>
        </w:rPr>
      </w:pPr>
    </w:p>
    <w:p w14:paraId="3268A9AC">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各乡镇（街道）：</w:t>
      </w:r>
    </w:p>
    <w:p w14:paraId="F77091DA">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    三元区农业农村局、三元区财政局</w:t>
      </w:r>
      <w:r>
        <w:rPr>
          <w:rFonts w:hint="default" w:ascii="仿宋_GB2312" w:hAnsi="仿宋_GB2312" w:eastAsia="仿宋_GB2312" w:cs="仿宋_GB2312"/>
          <w:color w:val="auto"/>
          <w:lang w:val="en-US" w:eastAsia="zh-CN"/>
        </w:rPr>
        <w:t>共同</w:t>
      </w:r>
      <w:r>
        <w:rPr>
          <w:rFonts w:hint="eastAsia" w:ascii="仿宋_GB2312" w:hAnsi="仿宋_GB2312" w:eastAsia="仿宋_GB2312" w:cs="仿宋_GB2312"/>
          <w:color w:val="auto"/>
          <w:lang w:val="en-US" w:eastAsia="zh-CN"/>
        </w:rPr>
        <w:t>制定了《2025年三元区耕地地力保护补贴</w:t>
      </w:r>
      <w:r>
        <w:rPr>
          <w:rFonts w:hint="eastAsia" w:ascii="仿宋_GB2312" w:hAnsi="仿宋_GB2312" w:cs="仿宋_GB2312"/>
          <w:color w:val="auto"/>
          <w:lang w:val="en-US" w:eastAsia="zh-CN"/>
        </w:rPr>
        <w:t>工作</w:t>
      </w:r>
      <w:r>
        <w:rPr>
          <w:rFonts w:hint="eastAsia" w:ascii="仿宋_GB2312" w:hAnsi="仿宋_GB2312" w:eastAsia="仿宋_GB2312" w:cs="仿宋_GB2312"/>
          <w:color w:val="auto"/>
          <w:lang w:val="en-US" w:eastAsia="zh-CN"/>
        </w:rPr>
        <w:t>方案》，</w:t>
      </w:r>
      <w:r>
        <w:rPr>
          <w:rFonts w:hint="eastAsia" w:ascii="仿宋_GB2312" w:hAnsi="仿宋_GB2312" w:cs="仿宋_GB2312"/>
          <w:color w:val="auto"/>
          <w:lang w:val="en-US" w:eastAsia="zh-CN"/>
        </w:rPr>
        <w:t>经区政府研究同意，</w:t>
      </w:r>
      <w:r>
        <w:rPr>
          <w:rFonts w:hint="eastAsia" w:ascii="仿宋_GB2312" w:hAnsi="仿宋_GB2312" w:eastAsia="仿宋_GB2312" w:cs="仿宋_GB2312"/>
          <w:color w:val="auto"/>
          <w:lang w:val="en-US" w:eastAsia="zh-CN"/>
        </w:rPr>
        <w:t>现印发给你们，请认真抓好贯彻落实。</w:t>
      </w:r>
    </w:p>
    <w:p w14:paraId="8E8A8F58">
      <w:pPr>
        <w:rPr>
          <w:rFonts w:hint="eastAsia" w:ascii="仿宋_GB2312" w:hAnsi="仿宋_GB2312" w:eastAsia="仿宋_GB2312" w:cs="仿宋_GB2312"/>
          <w:color w:val="auto"/>
          <w:lang w:val="en-US" w:eastAsia="zh-CN"/>
        </w:rPr>
      </w:pPr>
    </w:p>
    <w:p w14:paraId="6C69BB4C">
      <w:pPr>
        <w:rPr>
          <w:rFonts w:hint="eastAsia" w:ascii="仿宋_GB2312" w:hAnsi="仿宋_GB2312" w:eastAsia="仿宋_GB2312" w:cs="仿宋_GB2312"/>
          <w:color w:val="auto"/>
          <w:lang w:val="en-US" w:eastAsia="zh-CN"/>
        </w:rPr>
      </w:pPr>
    </w:p>
    <w:p w14:paraId="9473FE82">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三元区农业农村局    </w:t>
      </w:r>
      <w:r>
        <w:rPr>
          <w:rFonts w:hint="eastAsia" w:ascii="仿宋_GB2312" w:hAnsi="仿宋_GB2312" w:cs="仿宋_GB2312"/>
          <w:color w:val="auto"/>
          <w:lang w:val="en-US" w:eastAsia="zh-CN"/>
        </w:rPr>
        <w:t xml:space="preserve">       </w:t>
      </w:r>
      <w:r>
        <w:rPr>
          <w:rFonts w:hint="eastAsia" w:ascii="仿宋_GB2312" w:hAnsi="仿宋_GB2312" w:eastAsia="仿宋_GB2312" w:cs="仿宋_GB2312"/>
          <w:color w:val="auto"/>
          <w:lang w:val="en-US" w:eastAsia="zh-CN"/>
        </w:rPr>
        <w:t>三元区财政局</w:t>
      </w:r>
    </w:p>
    <w:p w14:paraId="1DD9F18D">
      <w:pPr>
        <w:ind w:firstLine="5440" w:firstLineChars="17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2025年</w:t>
      </w:r>
      <w:r>
        <w:rPr>
          <w:rFonts w:hint="eastAsia" w:ascii="仿宋_GB2312" w:hAnsi="仿宋_GB2312" w:cs="仿宋_GB2312"/>
          <w:color w:val="auto"/>
          <w:lang w:val="en-US" w:eastAsia="zh-CN"/>
        </w:rPr>
        <w:t>3</w:t>
      </w:r>
      <w:r>
        <w:rPr>
          <w:rFonts w:hint="eastAsia" w:ascii="仿宋_GB2312" w:hAnsi="仿宋_GB2312" w:eastAsia="仿宋_GB2312" w:cs="仿宋_GB2312"/>
          <w:color w:val="auto"/>
          <w:lang w:val="en-US" w:eastAsia="zh-CN"/>
        </w:rPr>
        <w:t>月</w:t>
      </w:r>
      <w:r>
        <w:rPr>
          <w:rFonts w:hint="eastAsia" w:ascii="仿宋_GB2312" w:hAnsi="仿宋_GB2312" w:cs="仿宋_GB2312"/>
          <w:color w:val="auto"/>
          <w:lang w:val="en-US" w:eastAsia="zh-CN"/>
        </w:rPr>
        <w:t>20</w:t>
      </w:r>
      <w:r>
        <w:rPr>
          <w:rFonts w:hint="eastAsia" w:ascii="仿宋_GB2312" w:hAnsi="仿宋_GB2312" w:eastAsia="仿宋_GB2312" w:cs="仿宋_GB2312"/>
          <w:color w:val="auto"/>
          <w:lang w:val="en-US" w:eastAsia="zh-CN"/>
        </w:rPr>
        <w:t>日</w:t>
      </w:r>
    </w:p>
    <w:p w14:paraId="E0944E55">
      <w:pPr>
        <w:rPr>
          <w:rFonts w:hint="eastAsia" w:ascii="仿宋_GB2312" w:hAnsi="仿宋_GB2312" w:eastAsia="仿宋_GB2312" w:cs="仿宋_GB2312"/>
          <w:color w:val="auto"/>
          <w:lang w:val="en-US" w:eastAsia="zh-CN"/>
        </w:rPr>
      </w:pPr>
    </w:p>
    <w:p w14:paraId="B17654A0">
      <w:pPr>
        <w:rPr>
          <w:rFonts w:hint="eastAsia" w:ascii="仿宋_GB2312" w:hAnsi="仿宋_GB2312" w:eastAsia="仿宋_GB2312" w:cs="仿宋_GB2312"/>
          <w:color w:val="auto"/>
          <w:lang w:val="en-US" w:eastAsia="zh-CN"/>
        </w:rPr>
      </w:pPr>
    </w:p>
    <w:p w14:paraId="1DC3A9A0">
      <w:pPr>
        <w:jc w:val="center"/>
        <w:rPr>
          <w:rFonts w:hint="eastAsia" w:ascii="方正小标宋简体" w:hAnsi="方正小标宋简体" w:eastAsia="方正小标宋简体" w:cs="方正小标宋简体"/>
          <w:color w:val="auto"/>
          <w:sz w:val="44"/>
          <w:szCs w:val="44"/>
          <w:lang w:val="en-US" w:eastAsia="zh-CN"/>
        </w:rPr>
        <w:sectPr>
          <w:pgSz w:w="11906" w:h="16838"/>
          <w:pgMar w:top="2098" w:right="1417" w:bottom="1984" w:left="1531" w:header="851" w:footer="992" w:gutter="0"/>
          <w:pgNumType w:fmt="decimal"/>
          <w:cols w:space="720" w:num="1"/>
          <w:docGrid w:type="lines" w:linePitch="312" w:charSpace="0"/>
        </w:sectPr>
      </w:pPr>
    </w:p>
    <w:p w14:paraId="EF10BF84">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2025年三元区耕地地力保护补贴工作方案</w:t>
      </w:r>
    </w:p>
    <w:p w14:paraId="2BE7DE8C">
      <w:pPr>
        <w:rPr>
          <w:rFonts w:hint="eastAsia" w:ascii="仿宋_GB2312" w:hAnsi="仿宋_GB2312" w:eastAsia="仿宋_GB2312" w:cs="仿宋_GB2312"/>
          <w:color w:val="auto"/>
          <w:lang w:val="en-US" w:eastAsia="zh-CN"/>
        </w:rPr>
      </w:pPr>
    </w:p>
    <w:p w14:paraId="A7308E2F">
      <w:pPr>
        <w:ind w:firstLine="64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为切实做好2025年我区耕地地力保护补贴工作，进一步规范耕地地力保护补贴资金管理，提高资金使用效益，根据《福建省财政厅 福建省农业农村厅关于提前下达2025年中央耕地建设与利用资金的通知》闽财农指〔2024〕98号等文件要求，结合我区实际，制定本</w:t>
      </w:r>
      <w:r>
        <w:rPr>
          <w:rFonts w:hint="eastAsia" w:ascii="仿宋_GB2312" w:hAnsi="仿宋_GB2312" w:cs="仿宋_GB2312"/>
          <w:color w:val="auto"/>
          <w:lang w:val="en-US" w:eastAsia="zh-CN"/>
        </w:rPr>
        <w:t>工作</w:t>
      </w:r>
      <w:r>
        <w:rPr>
          <w:rFonts w:hint="eastAsia" w:ascii="仿宋_GB2312" w:hAnsi="仿宋_GB2312" w:eastAsia="仿宋_GB2312" w:cs="仿宋_GB2312"/>
          <w:color w:val="auto"/>
          <w:lang w:val="en-US" w:eastAsia="zh-CN"/>
        </w:rPr>
        <w:t>方案。</w:t>
      </w:r>
    </w:p>
    <w:p w14:paraId="5D36A510">
      <w:pPr>
        <w:ind w:firstLine="640"/>
        <w:rPr>
          <w:rFonts w:hint="eastAsia" w:ascii="国标黑体-GB/T 2312" w:hAnsi="国标黑体-GB/T 2312" w:eastAsia="国标黑体-GB/T 2312" w:cs="国标黑体-GB/T 2312"/>
          <w:color w:val="auto"/>
          <w:lang w:val="en-US" w:eastAsia="zh-CN"/>
        </w:rPr>
      </w:pPr>
      <w:r>
        <w:rPr>
          <w:rFonts w:hint="eastAsia" w:ascii="国标黑体-GB/T 2312" w:hAnsi="国标黑体-GB/T 2312" w:eastAsia="国标黑体-GB/T 2312" w:cs="国标黑体-GB/T 2312"/>
          <w:color w:val="auto"/>
          <w:lang w:val="en-US" w:eastAsia="zh-CN"/>
        </w:rPr>
        <w:t>一、补贴对象、依据及标准</w:t>
      </w:r>
    </w:p>
    <w:p w14:paraId="F6E8ED9D">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（一）补贴对象。</w:t>
      </w:r>
      <w:r>
        <w:rPr>
          <w:rFonts w:hint="eastAsia" w:ascii="仿宋_GB2312" w:hAnsi="仿宋_GB2312" w:eastAsia="仿宋_GB2312" w:cs="仿宋_GB2312"/>
          <w:color w:val="auto"/>
          <w:lang w:val="en-US" w:eastAsia="zh-CN"/>
        </w:rPr>
        <w:t>补贴对象</w:t>
      </w:r>
      <w:r>
        <w:rPr>
          <w:rFonts w:hint="eastAsia" w:ascii="仿宋_GB2312" w:hAnsi="仿宋_GB2312" w:cs="仿宋_GB2312"/>
          <w:color w:val="auto"/>
          <w:lang w:val="en-US" w:eastAsia="zh-CN"/>
        </w:rPr>
        <w:t>原则上</w:t>
      </w:r>
      <w:r>
        <w:rPr>
          <w:rFonts w:hint="eastAsia" w:ascii="仿宋_GB2312" w:hAnsi="仿宋_GB2312" w:eastAsia="仿宋_GB2312" w:cs="仿宋_GB2312"/>
          <w:color w:val="auto"/>
          <w:lang w:val="en-US" w:eastAsia="zh-CN"/>
        </w:rPr>
        <w:t>为三元区拥有耕地承包权的种地农民</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国有农场和村集体耕地。针对承包方土地流转、身份转变等特殊情况，明确如下：</w:t>
      </w:r>
    </w:p>
    <w:p w14:paraId="0B327A82">
      <w:pPr>
        <w:ind w:firstLine="64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1.农民家庭承包地委托他人代耕代种或实施流转的，补贴资金原则上由原土地承包户领取，并承担耕地地力保护责任。代耕代种或流转双方在合同（协议）中对补贴归属有明确约定的，从其约定。 </w:t>
      </w:r>
    </w:p>
    <w:p w14:paraId="4CD0CFC4">
      <w:pPr>
        <w:ind w:firstLine="64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2.承包方户主死亡、家庭成员发生变动等，不影响承包合同效力的，及时变更户主“一卡通”或其他银行账户等信息，继续享受耕地地力保护补贴。</w:t>
      </w:r>
    </w:p>
    <w:p w14:paraId="CF222103">
      <w:pPr>
        <w:ind w:firstLine="640"/>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lang w:val="en-US" w:eastAsia="zh-CN"/>
        </w:rPr>
        <w:t xml:space="preserve">承包方整户消亡的，村集体收回承包地之前，由该地块实际种植者享受补贴；村集体收回承包权后，该户不再享受耕地地力保护补贴。 </w:t>
      </w:r>
    </w:p>
    <w:p w14:paraId="3B3E2132">
      <w:pPr>
        <w:ind w:firstLine="640"/>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lang w:val="en-US" w:eastAsia="zh-CN"/>
        </w:rPr>
        <w:t>承包方身份虽已转变但实际拥有耕地承包权或承包权益，且耕种土地符合条件的享受耕地地力保护补贴。</w:t>
      </w:r>
    </w:p>
    <w:p w14:paraId="598F9F77">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（二）补贴依据。</w:t>
      </w:r>
      <w:r>
        <w:rPr>
          <w:rFonts w:hint="eastAsia" w:ascii="仿宋_GB2312" w:hAnsi="仿宋_GB2312" w:eastAsia="仿宋_GB2312" w:cs="仿宋_GB2312"/>
          <w:color w:val="auto"/>
          <w:lang w:val="en-US" w:eastAsia="zh-CN"/>
        </w:rPr>
        <w:t>补贴面积核定以土地承包经营权确权登记颁证为主，未确权的可以用二轮承包耕地或国土三调耕地面积为基数，据实核减不符合补贴条件面积。</w:t>
      </w:r>
      <w:r>
        <w:rPr>
          <w:rFonts w:hint="eastAsia" w:ascii="仿宋_GB2312" w:hAnsi="仿宋_GB2312" w:cs="仿宋_GB2312"/>
          <w:color w:val="auto"/>
          <w:lang w:val="en-US" w:eastAsia="zh-CN"/>
        </w:rPr>
        <w:t>国有农场和</w:t>
      </w:r>
      <w:r>
        <w:rPr>
          <w:rFonts w:hint="eastAsia" w:ascii="仿宋_GB2312" w:hAnsi="仿宋_GB2312" w:eastAsia="仿宋_GB2312" w:cs="仿宋_GB2312"/>
          <w:color w:val="auto"/>
          <w:lang w:val="en-US" w:eastAsia="zh-CN"/>
        </w:rPr>
        <w:t>村集体耕地可按确权面积或自然资源部门认定耕地面积核定补贴面积。</w:t>
      </w:r>
    </w:p>
    <w:p w14:paraId="4226F2D7">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（三）不补范围。</w:t>
      </w:r>
      <w:r>
        <w:rPr>
          <w:rFonts w:hint="eastAsia" w:ascii="仿宋_GB2312" w:hAnsi="仿宋_GB2312" w:eastAsia="仿宋_GB2312" w:cs="仿宋_GB2312"/>
          <w:color w:val="auto"/>
          <w:lang w:val="en-US" w:eastAsia="zh-CN"/>
        </w:rPr>
        <w:t>对林地、已作为畜牧（水场）养殖场使用的耕地、成片粮田转为设施农业用地、非农业征</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占</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用耕地等已改变用途的耕地，以及占补平衡中“补”的面积和质量达不到耕种条件的耕地等不再给予补贴</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对抛荒一年以上的，取消次年补贴资格，待复耕后重新纳入补贴</w:t>
      </w:r>
      <w:r>
        <w:rPr>
          <w:rFonts w:hint="eastAsia" w:ascii="仿宋_GB2312" w:hAnsi="仿宋_GB2312" w:cs="仿宋_GB2312"/>
          <w:color w:val="auto"/>
          <w:lang w:val="en-US" w:eastAsia="zh-CN"/>
        </w:rPr>
        <w:t>范围</w:t>
      </w:r>
      <w:r>
        <w:rPr>
          <w:rFonts w:hint="eastAsia" w:ascii="仿宋_GB2312" w:hAnsi="仿宋_GB2312" w:eastAsia="仿宋_GB2312" w:cs="仿宋_GB2312"/>
          <w:color w:val="auto"/>
          <w:lang w:val="en-US" w:eastAsia="zh-CN"/>
        </w:rPr>
        <w:t>。</w:t>
      </w:r>
    </w:p>
    <w:p w14:paraId="835D093A">
      <w:pPr>
        <w:ind w:firstLine="640"/>
        <w:rPr>
          <w:rFonts w:hint="default"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（四）补贴标准。</w:t>
      </w:r>
      <w:r>
        <w:rPr>
          <w:rFonts w:hint="eastAsia" w:ascii="仿宋_GB2312" w:hAnsi="仿宋_GB2312" w:eastAsia="仿宋_GB2312" w:cs="仿宋_GB2312"/>
          <w:color w:val="auto"/>
          <w:lang w:val="en-US" w:eastAsia="zh-CN"/>
        </w:rPr>
        <w:t>2025年上级下达我区耕地地力</w:t>
      </w:r>
      <w:r>
        <w:rPr>
          <w:rFonts w:hint="eastAsia" w:ascii="仿宋_GB2312" w:hAnsi="仿宋_GB2312" w:cs="仿宋_GB2312"/>
          <w:color w:val="auto"/>
          <w:lang w:val="en-US" w:eastAsia="zh-CN"/>
        </w:rPr>
        <w:t>保护</w:t>
      </w:r>
      <w:r>
        <w:rPr>
          <w:rFonts w:hint="eastAsia" w:ascii="仿宋_GB2312" w:hAnsi="仿宋_GB2312" w:eastAsia="仿宋_GB2312" w:cs="仿宋_GB2312"/>
          <w:color w:val="auto"/>
          <w:lang w:val="en-US" w:eastAsia="zh-CN"/>
        </w:rPr>
        <w:t>补贴资金665万元</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补贴标准根据全区的补贴资金总量和区级核定的享受地力保护补贴的耕地面积进行测算，全区按统一补贴标准发放。</w:t>
      </w:r>
      <w:r>
        <w:rPr>
          <w:rFonts w:hint="eastAsia" w:ascii="仿宋_GB2312" w:hAnsi="仿宋_GB2312" w:cs="仿宋_GB2312"/>
          <w:color w:val="auto"/>
          <w:lang w:val="en-US" w:eastAsia="zh-CN"/>
        </w:rPr>
        <w:t>在此基础上，种粮大户（包括个体户、家庭农场、农业合作社、粮食企业等）还可享受叠加补助，叠加补助采取当年补上年的方式，其中种植粮食在30亩（含）-100亩的，每亩给予60元奖励补贴；种植粮食在100亩及以上的，每亩给予80元奖励补贴；种植再生稻30亩及以上的，另外每亩补贴催芽肥20元。2025</w:t>
      </w:r>
    </w:p>
    <w:p w14:paraId="F9906E6B">
      <w:pPr>
        <w:ind w:firstLine="640"/>
        <w:rPr>
          <w:rFonts w:hint="eastAsia" w:ascii="国标黑体-GB/T 2312" w:hAnsi="国标黑体-GB/T 2312" w:eastAsia="国标黑体-GB/T 2312" w:cs="国标黑体-GB/T 2312"/>
          <w:color w:val="auto"/>
          <w:lang w:val="en-US" w:eastAsia="zh-CN"/>
        </w:rPr>
      </w:pPr>
      <w:r>
        <w:rPr>
          <w:rFonts w:hint="eastAsia" w:ascii="国标黑体-GB/T 2312" w:hAnsi="国标黑体-GB/T 2312" w:eastAsia="国标黑体-GB/T 2312" w:cs="国标黑体-GB/T 2312"/>
          <w:color w:val="auto"/>
          <w:lang w:val="en-US" w:eastAsia="zh-CN"/>
        </w:rPr>
        <w:t>二、补贴发放程序</w:t>
      </w:r>
    </w:p>
    <w:p w14:paraId="F0F825A9">
      <w:pPr>
        <w:ind w:firstLine="64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按照“村级逐户登记、村级逐户核实、张榜公示、乡镇审核、区级测算、及时发放、系统录入”的流程，规范补贴资金发放工作。</w:t>
      </w:r>
    </w:p>
    <w:p w14:paraId="8D634A3D">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（一）村级登记。</w:t>
      </w:r>
      <w:r>
        <w:rPr>
          <w:rFonts w:hint="eastAsia" w:ascii="仿宋_GB2312" w:hAnsi="仿宋_GB2312" w:eastAsia="仿宋_GB2312" w:cs="仿宋_GB2312"/>
          <w:color w:val="auto"/>
          <w:lang w:val="en-US" w:eastAsia="zh-CN"/>
        </w:rPr>
        <w:t>村</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居</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委会逐户登记、核实耕地地力补贴每户应补面积、不纳入补贴的面积和“一卡通”</w:t>
      </w:r>
      <w:r>
        <w:rPr>
          <w:rFonts w:hint="eastAsia" w:ascii="仿宋_GB2312" w:hAnsi="仿宋_GB2312" w:cs="仿宋_GB2312"/>
          <w:color w:val="auto"/>
          <w:lang w:val="en-US" w:eastAsia="zh-CN"/>
        </w:rPr>
        <w:t>账户</w:t>
      </w:r>
      <w:r>
        <w:rPr>
          <w:rFonts w:hint="eastAsia" w:ascii="仿宋_GB2312" w:hAnsi="仿宋_GB2312" w:eastAsia="仿宋_GB2312" w:cs="仿宋_GB2312"/>
          <w:color w:val="auto"/>
          <w:lang w:val="en-US" w:eastAsia="zh-CN"/>
        </w:rPr>
        <w:t>、身份证号码、规模种粮主体面积和再生稻种植面积等信息，并在村级公</w:t>
      </w:r>
      <w:bookmarkStart w:id="0" w:name="_GoBack"/>
      <w:bookmarkEnd w:id="0"/>
      <w:r>
        <w:rPr>
          <w:rFonts w:hint="eastAsia" w:ascii="仿宋_GB2312" w:hAnsi="仿宋_GB2312" w:eastAsia="仿宋_GB2312" w:cs="仿宋_GB2312"/>
          <w:color w:val="auto"/>
          <w:lang w:val="en-US" w:eastAsia="zh-CN"/>
        </w:rPr>
        <w:t>示栏或基层小微权力群等农户方便知晓的方式公示公开7天</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如有异议，村（居）委会需在3天内核实完善，并再次公示5天，确保登记工作准确无误。无异议后，由村</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居</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委会主任或具体负责村主干签字、村</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居</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委会盖章，将补贴信息上报乡镇</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街道、农场</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原则上</w:t>
      </w:r>
      <w:r>
        <w:rPr>
          <w:rFonts w:hint="eastAsia" w:ascii="仿宋_GB2312" w:hAnsi="仿宋_GB2312" w:eastAsia="仿宋_GB2312" w:cs="仿宋_GB2312"/>
          <w:color w:val="auto"/>
          <w:lang w:val="en-US" w:eastAsia="zh-CN"/>
        </w:rPr>
        <w:t xml:space="preserve">每年3月31日前，村级需完成对户主身份、账户、耕地面积、规模种粮主体面积和再生稻种植面积、死亡户等信息的核实更新。以后年度，若农户补贴面积及信息数据无变化，可直接公示；若户主、补贴面积发生变化，应及时更新后公示。 </w:t>
      </w:r>
    </w:p>
    <w:p w14:paraId="A013B2E2">
      <w:pPr>
        <w:ind w:firstLine="640"/>
        <w:rPr>
          <w:rFonts w:hint="eastAsia" w:ascii="仿宋_GB2312" w:hAnsi="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（二）乡镇审核。</w:t>
      </w:r>
      <w:r>
        <w:rPr>
          <w:rFonts w:hint="eastAsia" w:ascii="仿宋_GB2312" w:hAnsi="仿宋_GB2312" w:cs="仿宋_GB2312"/>
          <w:color w:val="auto"/>
          <w:lang w:val="en-US" w:eastAsia="zh-CN"/>
        </w:rPr>
        <w:t xml:space="preserve">乡镇（街道、农场）督促村（居）委会及时准确申报、汇总农户和耕地面积等数据,抽核、审核各村居（委）会上报的材料内容、规模种粮主体面积和再生稻种植面积等信息。经乡镇（街道、农场）主要负责人、分管负责人和经办人签字并盖乡镇政府（街道办事处、农场）公章，上报区农业农村局。乡镇审核原则上应于每年4月底前完成。 </w:t>
      </w:r>
    </w:p>
    <w:p w14:paraId="F4ED8026">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（三）区级测算。</w:t>
      </w:r>
      <w:r>
        <w:rPr>
          <w:rFonts w:hint="eastAsia" w:ascii="仿宋_GB2312" w:hAnsi="仿宋_GB2312" w:eastAsia="仿宋_GB2312" w:cs="仿宋_GB2312"/>
          <w:color w:val="auto"/>
          <w:lang w:val="en-US" w:eastAsia="zh-CN"/>
        </w:rPr>
        <w:t>区农业农村局</w:t>
      </w:r>
      <w:r>
        <w:rPr>
          <w:rFonts w:hint="eastAsia" w:ascii="仿宋_GB2312" w:hAnsi="仿宋_GB2312" w:cs="仿宋_GB2312"/>
          <w:color w:val="auto"/>
          <w:lang w:val="en-US" w:eastAsia="zh-CN"/>
        </w:rPr>
        <w:t>牵头对乡镇（街道、农场）</w:t>
      </w:r>
      <w:r>
        <w:rPr>
          <w:rFonts w:hint="eastAsia" w:ascii="仿宋_GB2312" w:hAnsi="仿宋_GB2312" w:eastAsia="仿宋_GB2312" w:cs="仿宋_GB2312"/>
          <w:color w:val="auto"/>
          <w:lang w:val="en-US" w:eastAsia="zh-CN"/>
        </w:rPr>
        <w:t>上报的</w:t>
      </w:r>
      <w:r>
        <w:rPr>
          <w:rFonts w:hint="eastAsia" w:ascii="仿宋_GB2312" w:hAnsi="仿宋_GB2312" w:cs="仿宋_GB2312"/>
          <w:color w:val="auto"/>
          <w:lang w:val="en-US" w:eastAsia="zh-CN"/>
        </w:rPr>
        <w:t>数据进行审核</w:t>
      </w:r>
      <w:r>
        <w:rPr>
          <w:rFonts w:hint="eastAsia" w:ascii="仿宋_GB2312" w:hAnsi="仿宋_GB2312" w:eastAsia="仿宋_GB2312" w:cs="仿宋_GB2312"/>
          <w:color w:val="auto"/>
          <w:lang w:val="en-US" w:eastAsia="zh-CN"/>
        </w:rPr>
        <w:t>后，汇总形成全区耕地补贴总面积，并根据可补资金量（含当年拨付和上年结转资金），会同区财政局共同测算每亩补贴标准。</w:t>
      </w:r>
    </w:p>
    <w:p w14:paraId="44CD8EF3">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（四）资金拨付。</w:t>
      </w:r>
      <w:r>
        <w:rPr>
          <w:rFonts w:hint="eastAsia" w:ascii="仿宋_GB2312" w:hAnsi="仿宋_GB2312" w:eastAsia="仿宋_GB2312" w:cs="仿宋_GB2312"/>
          <w:color w:val="auto"/>
          <w:lang w:val="en-US" w:eastAsia="zh-CN"/>
        </w:rPr>
        <w:t>耕地地力保护补贴资金通过国库拨付，严格按照资金使用管理和国库集中支付制度有关规定，及时兑付补贴资金。补贴资金原则上于</w:t>
      </w:r>
      <w:r>
        <w:rPr>
          <w:rFonts w:hint="eastAsia" w:ascii="仿宋_GB2312" w:hAnsi="仿宋_GB2312" w:cs="仿宋_GB2312"/>
          <w:color w:val="auto"/>
          <w:lang w:val="en-US" w:eastAsia="zh-CN"/>
        </w:rPr>
        <w:t>6月25日</w:t>
      </w:r>
      <w:r>
        <w:rPr>
          <w:rFonts w:hint="eastAsia" w:ascii="仿宋_GB2312" w:hAnsi="仿宋_GB2312" w:eastAsia="仿宋_GB2312" w:cs="仿宋_GB2312"/>
          <w:color w:val="auto"/>
          <w:lang w:val="en-US" w:eastAsia="zh-CN"/>
        </w:rPr>
        <w:t xml:space="preserve">前足额发放到户，上年结转资金要在当年统筹使用完毕。按规定可获得耕地地力保护补贴的村组集体、农民合作社、龙头企业等，应拨付到其对公账户。 </w:t>
      </w:r>
    </w:p>
    <w:p w14:paraId="86A76B4E">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（五）系统录入。</w:t>
      </w:r>
      <w:r>
        <w:rPr>
          <w:rFonts w:hint="eastAsia" w:ascii="仿宋_GB2312" w:hAnsi="仿宋_GB2312" w:eastAsia="仿宋_GB2312" w:cs="仿宋_GB2312"/>
          <w:color w:val="auto"/>
          <w:lang w:val="en-US" w:eastAsia="zh-CN"/>
        </w:rPr>
        <w:t>区</w:t>
      </w:r>
      <w:r>
        <w:rPr>
          <w:rFonts w:hint="eastAsia" w:ascii="仿宋_GB2312" w:hAnsi="仿宋_GB2312" w:cs="仿宋_GB2312"/>
          <w:color w:val="auto"/>
          <w:lang w:val="en-US" w:eastAsia="zh-CN"/>
        </w:rPr>
        <w:t>农业农村局</w:t>
      </w:r>
      <w:r>
        <w:rPr>
          <w:rFonts w:hint="eastAsia" w:ascii="仿宋_GB2312" w:hAnsi="仿宋_GB2312" w:eastAsia="仿宋_GB2312" w:cs="仿宋_GB2312"/>
          <w:color w:val="auto"/>
          <w:lang w:val="en-US" w:eastAsia="zh-CN"/>
        </w:rPr>
        <w:t xml:space="preserve">于补贴资金发放完成后的5个工作日内，依托福建省乡村振兴（扶贫惠民）资金在线监管平台、农业农村部转移支付管理平台以及福建省农业农村厅财政资金上报系统，填报项目资金等有关情况。 </w:t>
      </w:r>
    </w:p>
    <w:p w14:paraId="C69E2482">
      <w:pPr>
        <w:ind w:firstLine="640"/>
        <w:rPr>
          <w:rFonts w:hint="eastAsia" w:ascii="国标黑体-GB/T 2312" w:hAnsi="国标黑体-GB/T 2312" w:eastAsia="国标黑体-GB/T 2312" w:cs="国标黑体-GB/T 2312"/>
          <w:color w:val="auto"/>
          <w:lang w:val="en-US" w:eastAsia="zh-CN"/>
        </w:rPr>
      </w:pPr>
      <w:r>
        <w:rPr>
          <w:rFonts w:hint="eastAsia" w:ascii="国标黑体-GB/T 2312" w:hAnsi="国标黑体-GB/T 2312" w:eastAsia="国标黑体-GB/T 2312" w:cs="国标黑体-GB/T 2312"/>
          <w:color w:val="auto"/>
          <w:lang w:val="en-US" w:eastAsia="zh-CN"/>
        </w:rPr>
        <w:t xml:space="preserve">三、职责分工 </w:t>
      </w:r>
    </w:p>
    <w:p w14:paraId="B242F470">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（一）</w:t>
      </w:r>
      <w:r>
        <w:rPr>
          <w:rFonts w:hint="eastAsia" w:ascii="仿宋_GB2312" w:hAnsi="仿宋_GB2312" w:eastAsia="仿宋_GB2312" w:cs="仿宋_GB2312"/>
          <w:color w:val="auto"/>
          <w:lang w:val="en-US" w:eastAsia="zh-CN"/>
        </w:rPr>
        <w:t>区农业农村局切实发挥牵头作用，强化培训、指导和服务工作，负责组织实施补贴发放、补贴信息公开等工作，每年每</w:t>
      </w:r>
      <w:r>
        <w:rPr>
          <w:rFonts w:hint="eastAsia" w:ascii="仿宋_GB2312" w:hAnsi="仿宋_GB2312" w:cs="仿宋_GB2312"/>
          <w:color w:val="auto"/>
          <w:lang w:val="en-US" w:eastAsia="zh-CN"/>
        </w:rPr>
        <w:t>个乡（镇）、街道分别</w:t>
      </w:r>
      <w:r>
        <w:rPr>
          <w:rFonts w:hint="eastAsia" w:ascii="仿宋_GB2312" w:hAnsi="仿宋_GB2312" w:eastAsia="仿宋_GB2312" w:cs="仿宋_GB2312"/>
          <w:color w:val="auto"/>
          <w:lang w:val="en-US" w:eastAsia="zh-CN"/>
        </w:rPr>
        <w:t>至少</w:t>
      </w:r>
      <w:r>
        <w:rPr>
          <w:rFonts w:hint="eastAsia" w:ascii="仿宋_GB2312" w:hAnsi="仿宋_GB2312" w:cs="仿宋_GB2312"/>
          <w:color w:val="auto"/>
          <w:lang w:val="en-US" w:eastAsia="zh-CN"/>
        </w:rPr>
        <w:t>抽取2个、1个行政村，</w:t>
      </w:r>
      <w:r>
        <w:rPr>
          <w:rFonts w:hint="eastAsia" w:ascii="仿宋_GB2312" w:hAnsi="仿宋_GB2312" w:eastAsia="仿宋_GB2312" w:cs="仿宋_GB2312"/>
          <w:color w:val="auto"/>
          <w:lang w:val="en-US" w:eastAsia="zh-CN"/>
        </w:rPr>
        <w:t>每村至少抽查</w:t>
      </w:r>
      <w:r>
        <w:rPr>
          <w:rFonts w:hint="eastAsia" w:ascii="仿宋_GB2312" w:hAnsi="仿宋_GB2312" w:cs="仿宋_GB2312"/>
          <w:color w:val="auto"/>
          <w:lang w:val="en-US" w:eastAsia="zh-CN"/>
        </w:rPr>
        <w:t>10个享受补助的农户（主体）</w:t>
      </w:r>
      <w:r>
        <w:rPr>
          <w:rFonts w:hint="eastAsia" w:ascii="仿宋_GB2312" w:hAnsi="仿宋_GB2312" w:eastAsia="仿宋_GB2312" w:cs="仿宋_GB2312"/>
          <w:color w:val="auto"/>
          <w:lang w:val="en-US" w:eastAsia="zh-CN"/>
        </w:rPr>
        <w:t>开展</w:t>
      </w:r>
      <w:r>
        <w:rPr>
          <w:rFonts w:hint="eastAsia" w:ascii="仿宋_GB2312" w:hAnsi="仿宋_GB2312" w:cs="仿宋_GB2312"/>
          <w:color w:val="auto"/>
          <w:lang w:val="en-US" w:eastAsia="zh-CN"/>
        </w:rPr>
        <w:t>实地</w:t>
      </w:r>
      <w:r>
        <w:rPr>
          <w:rFonts w:hint="eastAsia" w:ascii="仿宋_GB2312" w:hAnsi="仿宋_GB2312" w:eastAsia="仿宋_GB2312" w:cs="仿宋_GB2312"/>
          <w:color w:val="auto"/>
          <w:lang w:val="en-US" w:eastAsia="zh-CN"/>
        </w:rPr>
        <w:t>核查。</w:t>
      </w:r>
    </w:p>
    <w:p w14:paraId="63A49895">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（二）</w:t>
      </w:r>
      <w:r>
        <w:rPr>
          <w:rFonts w:hint="eastAsia" w:ascii="仿宋_GB2312" w:hAnsi="仿宋_GB2312" w:eastAsia="仿宋_GB2312" w:cs="仿宋_GB2312"/>
          <w:color w:val="auto"/>
          <w:lang w:val="en-US" w:eastAsia="zh-CN"/>
        </w:rPr>
        <w:t>区财政局负责审核区农业农村局提供的补贴发放</w:t>
      </w:r>
      <w:r>
        <w:rPr>
          <w:rFonts w:hint="eastAsia" w:ascii="仿宋_GB2312" w:hAnsi="仿宋_GB2312" w:cs="仿宋_GB2312"/>
          <w:color w:val="auto"/>
          <w:lang w:val="en-US" w:eastAsia="zh-CN"/>
        </w:rPr>
        <w:t>金额</w:t>
      </w:r>
      <w:r>
        <w:rPr>
          <w:rFonts w:hint="eastAsia" w:ascii="仿宋_GB2312" w:hAnsi="仿宋_GB2312" w:eastAsia="仿宋_GB2312" w:cs="仿宋_GB2312"/>
          <w:color w:val="auto"/>
          <w:lang w:val="en-US" w:eastAsia="zh-CN"/>
        </w:rPr>
        <w:t xml:space="preserve">数据，拨付补贴资金，督促指导代发金融机构及时、准确兑付补贴资金。 </w:t>
      </w:r>
    </w:p>
    <w:p w14:paraId="5C0DABF5">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（三）</w:t>
      </w:r>
      <w:r>
        <w:rPr>
          <w:rFonts w:hint="eastAsia" w:ascii="仿宋_GB2312" w:hAnsi="仿宋_GB2312" w:eastAsia="仿宋_GB2312" w:cs="仿宋_GB2312"/>
          <w:color w:val="auto"/>
          <w:lang w:val="en-US" w:eastAsia="zh-CN"/>
        </w:rPr>
        <w:t xml:space="preserve">乡镇人民政府、街道办事处和村（居）民委员会对补贴对象和补贴面积的真实性负责。 </w:t>
      </w:r>
    </w:p>
    <w:p w14:paraId="BA908E4C">
      <w:pPr>
        <w:ind w:firstLine="640"/>
        <w:rPr>
          <w:rFonts w:hint="eastAsia" w:ascii="国标黑体-GB/T 2312" w:hAnsi="国标黑体-GB/T 2312" w:eastAsia="国标黑体-GB/T 2312" w:cs="国标黑体-GB/T 2312"/>
          <w:color w:val="auto"/>
          <w:lang w:val="en-US" w:eastAsia="zh-CN"/>
        </w:rPr>
      </w:pPr>
      <w:r>
        <w:rPr>
          <w:rFonts w:hint="eastAsia" w:ascii="国标黑体-GB/T 2312" w:hAnsi="国标黑体-GB/T 2312" w:eastAsia="国标黑体-GB/T 2312" w:cs="国标黑体-GB/T 2312"/>
          <w:color w:val="auto"/>
          <w:lang w:val="en-US" w:eastAsia="zh-CN"/>
        </w:rPr>
        <w:t xml:space="preserve">四、工作要求 </w:t>
      </w:r>
    </w:p>
    <w:p w14:paraId="573F8585">
      <w:pPr>
        <w:ind w:firstLine="640"/>
        <w:rPr>
          <w:rFonts w:hint="eastAsia" w:ascii="仿宋_GB2312" w:hAnsi="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（一）严格资金管理与使用。</w:t>
      </w:r>
      <w:r>
        <w:rPr>
          <w:rFonts w:hint="eastAsia" w:ascii="仿宋_GB2312" w:hAnsi="仿宋_GB2312" w:cs="仿宋_GB2312"/>
          <w:color w:val="auto"/>
          <w:lang w:val="en-US" w:eastAsia="zh-CN"/>
        </w:rPr>
        <w:t>确保专款专用，严禁任何单位和个人虚报耕地地力保护补贴面积，杜绝滞留截留、虚报冒领、挤占挪用补贴资金等行为，不得用补贴资金抵扣各种债务和欠款。按规定获得补贴的国有农场和村集体，需严格执行财务管理规定，切实落实耕地保护工作。</w:t>
      </w:r>
    </w:p>
    <w:p w14:paraId="9F0052D8">
      <w:pPr>
        <w:ind w:firstLine="640"/>
        <w:rPr>
          <w:rFonts w:hint="eastAsia" w:ascii="国标楷体-GB/T 2312" w:hAnsi="国标楷体-GB/T 2312" w:eastAsia="国标楷体-GB/T 2312" w:cs="国标楷体-GB/T 2312"/>
          <w:b/>
          <w:bCs/>
          <w:color w:val="auto"/>
          <w:lang w:val="en-US" w:eastAsia="zh-CN"/>
        </w:rPr>
      </w:pPr>
      <w:r>
        <w:rPr>
          <w:rFonts w:hint="eastAsia" w:ascii="国标楷体-GB/T 2312" w:hAnsi="国标楷体-GB/T 2312" w:eastAsia="国标楷体-GB/T 2312" w:cs="国标楷体-GB/T 2312"/>
          <w:b/>
          <w:bCs/>
          <w:color w:val="auto"/>
          <w:lang w:val="en-US" w:eastAsia="zh-CN"/>
        </w:rPr>
        <w:t>（二）落实公示公开与监督。</w:t>
      </w:r>
      <w:r>
        <w:rPr>
          <w:rFonts w:hint="eastAsia" w:ascii="仿宋_GB2312" w:hAnsi="仿宋_GB2312" w:eastAsia="仿宋_GB2312" w:cs="仿宋_GB2312"/>
          <w:color w:val="auto"/>
          <w:lang w:val="en-US" w:eastAsia="zh-CN"/>
        </w:rPr>
        <w:t>村（居）委会</w:t>
      </w:r>
      <w:r>
        <w:rPr>
          <w:rFonts w:hint="eastAsia" w:ascii="仿宋_GB2312" w:hAnsi="仿宋_GB2312" w:cs="仿宋_GB2312"/>
          <w:color w:val="auto"/>
          <w:lang w:val="en-US" w:eastAsia="zh-CN"/>
        </w:rPr>
        <w:t>要严格按照要求</w:t>
      </w:r>
      <w:r>
        <w:rPr>
          <w:rFonts w:hint="eastAsia" w:ascii="仿宋_GB2312" w:hAnsi="仿宋_GB2312" w:eastAsia="仿宋_GB2312" w:cs="仿宋_GB2312"/>
          <w:color w:val="auto"/>
          <w:lang w:val="en-US" w:eastAsia="zh-CN"/>
        </w:rPr>
        <w:t>对补贴信息进行公示，公示无异议后的最终材料签字盖章后报送至各乡镇（街道）留档</w:t>
      </w:r>
      <w:r>
        <w:rPr>
          <w:rFonts w:hint="eastAsia" w:ascii="仿宋_GB2312" w:hAnsi="仿宋_GB2312" w:cs="仿宋_GB2312"/>
          <w:color w:val="auto"/>
          <w:lang w:val="en-US" w:eastAsia="zh-CN"/>
        </w:rPr>
        <w:t>，同时</w:t>
      </w:r>
      <w:r>
        <w:rPr>
          <w:rFonts w:hint="eastAsia" w:ascii="仿宋_GB2312" w:hAnsi="仿宋_GB2312" w:eastAsia="仿宋_GB2312" w:cs="仿宋_GB2312"/>
          <w:color w:val="auto"/>
          <w:lang w:val="en-US" w:eastAsia="zh-CN"/>
        </w:rPr>
        <w:t>应建立公示台账，便于日常管理及留样备查。乡镇（街道）公开</w:t>
      </w:r>
      <w:r>
        <w:rPr>
          <w:rFonts w:hint="eastAsia" w:ascii="仿宋_GB2312" w:hAnsi="仿宋_GB2312" w:cs="仿宋_GB2312"/>
          <w:color w:val="auto"/>
          <w:lang w:val="en-US" w:eastAsia="zh-CN"/>
        </w:rPr>
        <w:t>本级及区级</w:t>
      </w:r>
      <w:r>
        <w:rPr>
          <w:rFonts w:hint="eastAsia" w:ascii="仿宋_GB2312" w:hAnsi="仿宋_GB2312" w:eastAsia="仿宋_GB2312" w:cs="仿宋_GB2312"/>
          <w:color w:val="auto"/>
          <w:lang w:val="en-US" w:eastAsia="zh-CN"/>
        </w:rPr>
        <w:t>监督举报电话，听取农民群众意见，接受群众监督</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加强对村（居）委会上报材料的审核，对补贴发放工作进行全程监管。区农业农村、财政局强化日常监管和重点绩效评价，积极处理信访问题，及时纠正补贴发放中存在的问题，维护农户合法权益。</w:t>
      </w:r>
    </w:p>
    <w:p w14:paraId="8F4F7C96">
      <w:pPr>
        <w:ind w:firstLine="640"/>
        <w:rPr>
          <w:rFonts w:hint="eastAsia" w:ascii="仿宋_GB2312" w:hAnsi="仿宋_GB2312" w:eastAsia="仿宋_GB2312" w:cs="仿宋_GB2312"/>
          <w:color w:val="auto"/>
          <w:lang w:val="en-US" w:eastAsia="zh-CN"/>
        </w:rPr>
      </w:pPr>
      <w:r>
        <w:rPr>
          <w:rFonts w:hint="eastAsia" w:ascii="国标楷体-GB/T 2312" w:hAnsi="国标楷体-GB/T 2312" w:eastAsia="国标楷体-GB/T 2312" w:cs="国标楷体-GB/T 2312"/>
          <w:b/>
          <w:bCs/>
          <w:color w:val="auto"/>
          <w:lang w:val="en-US" w:eastAsia="zh-CN"/>
        </w:rPr>
        <w:t>（三）严肃纪律与责任追究。</w:t>
      </w:r>
      <w:r>
        <w:rPr>
          <w:rFonts w:hint="eastAsia" w:ascii="仿宋_GB2312" w:hAnsi="仿宋_GB2312" w:eastAsia="仿宋_GB2312" w:cs="仿宋_GB2312"/>
          <w:color w:val="auto"/>
          <w:lang w:val="en-US" w:eastAsia="zh-CN"/>
        </w:rPr>
        <w:t>对骗取、贪污、挤占、挪用或违规发放等行为，依法依规严肃处理，追究相关人员责任。同时，加强对各级工作人员的纪律教育，确保补贴发放工作公正、公平、公开。</w:t>
      </w:r>
    </w:p>
    <w:p w14:paraId="36B8DB45">
      <w:pPr>
        <w:ind w:firstLine="640"/>
        <w:rPr>
          <w:rFonts w:hint="eastAsia" w:ascii="仿宋_GB2312" w:hAnsi="仿宋_GB2312" w:eastAsia="仿宋_GB2312" w:cs="仿宋_GB2312"/>
          <w:color w:val="auto"/>
          <w:lang w:val="en-US" w:eastAsia="zh-CN"/>
        </w:rPr>
      </w:pPr>
      <w:r>
        <w:rPr>
          <w:rFonts w:hint="eastAsia" w:ascii="仿宋_GB2312" w:eastAsia="仿宋_GB2312"/>
          <w:sz w:val="32"/>
          <w:szCs w:val="32"/>
          <w:lang w:val="en-US" w:eastAsia="zh-CN"/>
        </w:rPr>
        <w:t>本政策措施自文件印发之日起施行,</w:t>
      </w:r>
      <w:r>
        <w:rPr>
          <w:rFonts w:hint="eastAsia" w:ascii="仿宋_GB2312" w:hAnsi="仿宋_GB2312" w:cs="仿宋_GB2312"/>
          <w:color w:val="auto"/>
          <w:lang w:val="en-US" w:eastAsia="zh-CN"/>
        </w:rPr>
        <w:t>以后年度，如中央、省级耕地地力保护补贴政策未变动，则继续按本工作方案执行，不再另行下文。</w:t>
      </w:r>
    </w:p>
    <w:p w14:paraId="D32362CA">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cs="仿宋_GB2312"/>
          <w:color w:val="auto"/>
          <w:lang w:val="en-US" w:eastAsia="zh-CN"/>
        </w:rPr>
      </w:pPr>
    </w:p>
    <w:p w14:paraId="B5CA1FFF">
      <w:pPr>
        <w:keepNext w:val="0"/>
        <w:keepLines w:val="0"/>
        <w:pageBreakBefore w:val="0"/>
        <w:widowControl w:val="0"/>
        <w:kinsoku/>
        <w:wordWrap/>
        <w:overflowPunct/>
        <w:topLinePunct w:val="0"/>
        <w:autoSpaceDE/>
        <w:autoSpaceDN/>
        <w:bidi w:val="0"/>
        <w:adjustRightInd/>
        <w:snapToGrid/>
        <w:spacing w:line="480" w:lineRule="exact"/>
        <w:ind w:left="1600" w:leftChars="200" w:hanging="960" w:hangingChars="300"/>
        <w:textAlignment w:val="auto"/>
        <w:rPr>
          <w:rFonts w:hint="eastAsia" w:ascii="仿宋_GB2312" w:hAnsi="仿宋_GB2312" w:cs="仿宋_GB2312"/>
          <w:color w:val="auto"/>
          <w:lang w:val="en-US" w:eastAsia="zh-CN"/>
        </w:rPr>
      </w:pPr>
      <w:r>
        <w:rPr>
          <w:rFonts w:hint="eastAsia" w:ascii="仿宋_GB2312" w:hAnsi="仿宋_GB2312" w:cs="仿宋_GB2312"/>
          <w:color w:val="auto"/>
          <w:lang w:val="en-US" w:eastAsia="zh-CN"/>
        </w:rPr>
        <w:t>附件：1.2025年三元区耕地地力保护补贴清册</w:t>
      </w:r>
    </w:p>
    <w:p w14:paraId="9BB658C3">
      <w:pPr>
        <w:keepNext w:val="0"/>
        <w:keepLines w:val="0"/>
        <w:pageBreakBefore w:val="0"/>
        <w:widowControl w:val="0"/>
        <w:kinsoku/>
        <w:wordWrap/>
        <w:overflowPunct/>
        <w:topLinePunct w:val="0"/>
        <w:autoSpaceDE/>
        <w:autoSpaceDN/>
        <w:bidi w:val="0"/>
        <w:adjustRightInd/>
        <w:snapToGrid/>
        <w:spacing w:line="480" w:lineRule="exact"/>
        <w:ind w:left="1600" w:leftChars="200" w:hanging="960" w:hangingChars="300"/>
        <w:textAlignment w:val="auto"/>
        <w:rPr>
          <w:rFonts w:hint="default" w:ascii="仿宋_GB2312" w:hAnsi="仿宋_GB2312" w:cs="仿宋_GB2312"/>
          <w:color w:val="auto"/>
          <w:lang w:val="en-US" w:eastAsia="zh-CN"/>
        </w:rPr>
      </w:pPr>
      <w:r>
        <w:rPr>
          <w:rFonts w:hint="eastAsia" w:ascii="仿宋_GB2312" w:hAnsi="仿宋_GB2312" w:cs="仿宋_GB2312"/>
          <w:color w:val="auto"/>
          <w:lang w:val="en-US" w:eastAsia="zh-CN"/>
        </w:rPr>
        <w:t xml:space="preserve">      2.2025年三元区耕地地力保护补贴汇总表</w:t>
      </w:r>
    </w:p>
    <w:p w14:paraId="A8197195">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cs="仿宋_GB2312"/>
          <w:color w:val="auto"/>
          <w:lang w:val="en-US" w:eastAsia="zh-CN"/>
        </w:rPr>
      </w:pPr>
      <w:r>
        <w:rPr>
          <w:rFonts w:hint="eastAsia" w:ascii="仿宋_GB2312" w:hAnsi="仿宋_GB2312" w:cs="仿宋_GB2312"/>
          <w:color w:val="auto"/>
          <w:lang w:val="en-US" w:eastAsia="zh-CN"/>
        </w:rPr>
        <w:t xml:space="preserve">      3.2025年三元区种粮大户信息表</w:t>
      </w:r>
    </w:p>
    <w:p w14:paraId="37CFC42E">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cs="仿宋_GB2312"/>
          <w:color w:val="auto"/>
          <w:lang w:val="en-US" w:eastAsia="zh-CN"/>
        </w:rPr>
        <w:sectPr>
          <w:footerReference r:id="rId5" w:type="default"/>
          <w:pgSz w:w="11906" w:h="16838"/>
          <w:pgMar w:top="2098" w:right="1417" w:bottom="1984" w:left="1531" w:header="851" w:footer="992" w:gutter="0"/>
          <w:pgNumType w:fmt="decimal" w:start="2"/>
          <w:cols w:space="720" w:num="1"/>
          <w:docGrid w:type="lines" w:linePitch="312" w:charSpace="0"/>
        </w:sectPr>
      </w:pPr>
      <w:r>
        <w:rPr>
          <w:rFonts w:hint="eastAsia" w:ascii="仿宋_GB2312" w:hAnsi="仿宋_GB2312" w:cs="仿宋_GB2312"/>
          <w:color w:val="auto"/>
          <w:lang w:val="en-US" w:eastAsia="zh-CN"/>
        </w:rPr>
        <w:t xml:space="preserve">      4.2025年三元区种粮大户汇总表</w:t>
      </w:r>
    </w:p>
    <w:p w14:paraId="014630A6">
      <w:pPr>
        <w:rPr>
          <w:rFonts w:hint="eastAsia" w:ascii="国标黑体-GB/T 2312" w:hAnsi="国标黑体-GB/T 2312" w:eastAsia="国标黑体-GB/T 2312" w:cs="国标黑体-GB/T 2312"/>
          <w:color w:val="auto"/>
          <w:sz w:val="28"/>
          <w:szCs w:val="28"/>
          <w:lang w:val="en-US" w:eastAsia="zh-CN"/>
        </w:rPr>
      </w:pPr>
      <w:r>
        <w:rPr>
          <w:rFonts w:hint="eastAsia" w:ascii="国标黑体-GB/T 2312" w:hAnsi="国标黑体-GB/T 2312" w:eastAsia="国标黑体-GB/T 2312" w:cs="国标黑体-GB/T 2312"/>
          <w:color w:val="auto"/>
          <w:sz w:val="28"/>
          <w:szCs w:val="28"/>
          <w:lang w:val="en-US" w:eastAsia="zh-CN"/>
        </w:rPr>
        <w:t>附件1：</w:t>
      </w:r>
    </w:p>
    <w:p w14:paraId="76FD3C0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cs="仿宋_GB2312"/>
          <w:color w:val="auto"/>
          <w:sz w:val="24"/>
          <w:szCs w:val="24"/>
          <w:lang w:val="en-US" w:eastAsia="zh-CN"/>
        </w:rPr>
      </w:pPr>
      <w:r>
        <w:rPr>
          <w:rFonts w:hint="eastAsia" w:ascii="方正小标宋简体" w:hAnsi="方正小标宋简体" w:eastAsia="方正小标宋简体" w:cs="方正小标宋简体"/>
          <w:color w:val="auto"/>
          <w:sz w:val="36"/>
          <w:szCs w:val="36"/>
          <w:lang w:val="en-US" w:eastAsia="zh-CN"/>
        </w:rPr>
        <w:t>2025年三元区</w:t>
      </w:r>
      <w:r>
        <w:rPr>
          <w:rFonts w:hint="eastAsia" w:ascii="方正小标宋简体" w:hAnsi="方正小标宋简体" w:eastAsia="方正小标宋简体" w:cs="方正小标宋简体"/>
          <w:color w:val="auto"/>
          <w:sz w:val="36"/>
          <w:szCs w:val="36"/>
          <w:u w:val="single"/>
          <w:lang w:val="en-US" w:eastAsia="zh-CN"/>
        </w:rPr>
        <w:t xml:space="preserve">     </w:t>
      </w:r>
      <w:r>
        <w:rPr>
          <w:rFonts w:hint="eastAsia" w:ascii="方正小标宋简体" w:hAnsi="方正小标宋简体" w:eastAsia="方正小标宋简体" w:cs="方正小标宋简体"/>
          <w:color w:val="auto"/>
          <w:sz w:val="36"/>
          <w:szCs w:val="36"/>
          <w:lang w:val="en-US" w:eastAsia="zh-CN"/>
        </w:rPr>
        <w:t>乡镇（街道）</w:t>
      </w:r>
      <w:r>
        <w:rPr>
          <w:rFonts w:hint="eastAsia" w:ascii="方正小标宋简体" w:hAnsi="方正小标宋简体" w:eastAsia="方正小标宋简体" w:cs="方正小标宋简体"/>
          <w:color w:val="auto"/>
          <w:sz w:val="36"/>
          <w:szCs w:val="36"/>
          <w:u w:val="single"/>
          <w:lang w:val="en-US" w:eastAsia="zh-CN"/>
        </w:rPr>
        <w:t xml:space="preserve">     </w:t>
      </w:r>
      <w:r>
        <w:rPr>
          <w:rFonts w:hint="eastAsia" w:ascii="方正小标宋简体" w:hAnsi="方正小标宋简体" w:eastAsia="方正小标宋简体" w:cs="方正小标宋简体"/>
          <w:color w:val="auto"/>
          <w:sz w:val="36"/>
          <w:szCs w:val="36"/>
          <w:lang w:val="en-US" w:eastAsia="zh-CN"/>
        </w:rPr>
        <w:t>村（居）耕地地力保护补贴清册</w:t>
      </w:r>
    </w:p>
    <w:p w14:paraId="4E11C85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小标宋简体" w:hAnsi="方正小标宋简体" w:eastAsia="方正小标宋简体" w:cs="方正小标宋简体"/>
          <w:color w:val="auto"/>
          <w:sz w:val="36"/>
          <w:szCs w:val="36"/>
          <w:lang w:val="en-US" w:eastAsia="zh-CN"/>
        </w:rPr>
      </w:pPr>
      <w:r>
        <w:rPr>
          <w:rFonts w:hint="eastAsia" w:ascii="仿宋_GB2312" w:hAnsi="仿宋_GB2312" w:cs="仿宋_GB2312"/>
          <w:color w:val="auto"/>
          <w:sz w:val="24"/>
          <w:szCs w:val="24"/>
          <w:lang w:val="en-US" w:eastAsia="zh-CN"/>
        </w:rPr>
        <w:t>村（居）委会盖章：                                                                                      单位：亩</w:t>
      </w:r>
    </w:p>
    <w:tbl>
      <w:tblPr>
        <w:tblStyle w:val="5"/>
        <w:tblpPr w:leftFromText="180" w:rightFromText="180" w:vertAnchor="text" w:horzAnchor="page" w:tblpX="1604" w:tblpY="189"/>
        <w:tblOverlap w:val="never"/>
        <w:tblW w:w="13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009"/>
        <w:gridCol w:w="2209"/>
        <w:gridCol w:w="2032"/>
        <w:gridCol w:w="1323"/>
        <w:gridCol w:w="1295"/>
        <w:gridCol w:w="1377"/>
        <w:gridCol w:w="1105"/>
        <w:gridCol w:w="1459"/>
        <w:gridCol w:w="1705"/>
      </w:tblGrid>
      <w:tr w14:paraId="836A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7" w:type="dxa"/>
            <w:vMerge w:val="restart"/>
            <w:vAlign w:val="center"/>
          </w:tcPr>
          <w:p w14:paraId="6139D0A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序号</w:t>
            </w:r>
          </w:p>
        </w:tc>
        <w:tc>
          <w:tcPr>
            <w:tcW w:w="1009" w:type="dxa"/>
            <w:vMerge w:val="restart"/>
            <w:vAlign w:val="center"/>
          </w:tcPr>
          <w:p w14:paraId="AD028BE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姓名</w:t>
            </w:r>
          </w:p>
        </w:tc>
        <w:tc>
          <w:tcPr>
            <w:tcW w:w="2209" w:type="dxa"/>
            <w:vMerge w:val="restart"/>
            <w:vAlign w:val="center"/>
          </w:tcPr>
          <w:p w14:paraId="BC95DAE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身份证号</w:t>
            </w:r>
          </w:p>
        </w:tc>
        <w:tc>
          <w:tcPr>
            <w:tcW w:w="2032" w:type="dxa"/>
            <w:vMerge w:val="restart"/>
            <w:vAlign w:val="center"/>
          </w:tcPr>
          <w:p w14:paraId="6D526E2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一卡通账号</w:t>
            </w:r>
          </w:p>
        </w:tc>
        <w:tc>
          <w:tcPr>
            <w:tcW w:w="1323" w:type="dxa"/>
            <w:vMerge w:val="restart"/>
            <w:vAlign w:val="center"/>
          </w:tcPr>
          <w:p w14:paraId="C3DD267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确权/二轮承包或三调面积</w:t>
            </w:r>
          </w:p>
        </w:tc>
        <w:tc>
          <w:tcPr>
            <w:tcW w:w="2672" w:type="dxa"/>
            <w:gridSpan w:val="2"/>
            <w:vAlign w:val="center"/>
          </w:tcPr>
          <w:p w14:paraId="C12EFD8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需要核减的耕地</w:t>
            </w:r>
          </w:p>
        </w:tc>
        <w:tc>
          <w:tcPr>
            <w:tcW w:w="1105" w:type="dxa"/>
            <w:vMerge w:val="restart"/>
            <w:vAlign w:val="center"/>
          </w:tcPr>
          <w:p w14:paraId="1FF075F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应补面积</w:t>
            </w:r>
          </w:p>
        </w:tc>
        <w:tc>
          <w:tcPr>
            <w:tcW w:w="1459" w:type="dxa"/>
            <w:vMerge w:val="restart"/>
            <w:vAlign w:val="center"/>
          </w:tcPr>
          <w:p w14:paraId="118D102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再生稻催芽肥补贴面积</w:t>
            </w:r>
          </w:p>
        </w:tc>
        <w:tc>
          <w:tcPr>
            <w:tcW w:w="1705" w:type="dxa"/>
            <w:vMerge w:val="restart"/>
            <w:vAlign w:val="center"/>
          </w:tcPr>
          <w:p w14:paraId="A8A9DF1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联系电话</w:t>
            </w:r>
          </w:p>
        </w:tc>
      </w:tr>
      <w:tr w14:paraId="252F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7" w:type="dxa"/>
            <w:vMerge w:val="continue"/>
            <w:vAlign w:val="center"/>
          </w:tcPr>
          <w:p w14:paraId="7BCA3241">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1009" w:type="dxa"/>
            <w:vMerge w:val="continue"/>
            <w:vAlign w:val="center"/>
          </w:tcPr>
          <w:p w14:paraId="C728399C">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2209" w:type="dxa"/>
            <w:vMerge w:val="continue"/>
            <w:vAlign w:val="center"/>
          </w:tcPr>
          <w:p w14:paraId="D7206BEF">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2032" w:type="dxa"/>
            <w:vMerge w:val="continue"/>
            <w:vAlign w:val="center"/>
          </w:tcPr>
          <w:p w14:paraId="963AE58D">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1323" w:type="dxa"/>
            <w:vMerge w:val="continue"/>
            <w:vAlign w:val="center"/>
          </w:tcPr>
          <w:p w14:paraId="4FD8D4C2">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1295" w:type="dxa"/>
            <w:vAlign w:val="center"/>
          </w:tcPr>
          <w:p w14:paraId="6AA184A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核减类型</w:t>
            </w:r>
          </w:p>
        </w:tc>
        <w:tc>
          <w:tcPr>
            <w:tcW w:w="1377" w:type="dxa"/>
            <w:vAlign w:val="center"/>
          </w:tcPr>
          <w:p w14:paraId="3AF6EEF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核减面积</w:t>
            </w:r>
          </w:p>
        </w:tc>
        <w:tc>
          <w:tcPr>
            <w:tcW w:w="1105" w:type="dxa"/>
            <w:vMerge w:val="continue"/>
            <w:vAlign w:val="center"/>
          </w:tcPr>
          <w:p w14:paraId="E3F213F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_GB2312" w:hAnsi="仿宋_GB2312" w:cs="仿宋_GB2312"/>
                <w:b/>
                <w:bCs/>
                <w:color w:val="auto"/>
                <w:sz w:val="24"/>
                <w:szCs w:val="24"/>
                <w:vertAlign w:val="baseline"/>
                <w:lang w:val="en-US" w:eastAsia="zh-CN"/>
              </w:rPr>
            </w:pPr>
          </w:p>
        </w:tc>
        <w:tc>
          <w:tcPr>
            <w:tcW w:w="1459" w:type="dxa"/>
            <w:vMerge w:val="continue"/>
            <w:vAlign w:val="center"/>
          </w:tcPr>
          <w:p w14:paraId="2957CDA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_GB2312" w:hAnsi="仿宋_GB2312" w:cs="仿宋_GB2312"/>
                <w:b/>
                <w:bCs/>
                <w:color w:val="auto"/>
                <w:sz w:val="24"/>
                <w:szCs w:val="24"/>
                <w:vertAlign w:val="baseline"/>
                <w:lang w:val="en-US" w:eastAsia="zh-CN"/>
              </w:rPr>
            </w:pPr>
          </w:p>
        </w:tc>
        <w:tc>
          <w:tcPr>
            <w:tcW w:w="1705" w:type="dxa"/>
            <w:vMerge w:val="continue"/>
            <w:vAlign w:val="center"/>
          </w:tcPr>
          <w:p w14:paraId="A526707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_GB2312" w:hAnsi="仿宋_GB2312" w:cs="仿宋_GB2312"/>
                <w:b/>
                <w:bCs/>
                <w:color w:val="auto"/>
                <w:sz w:val="24"/>
                <w:szCs w:val="24"/>
                <w:vertAlign w:val="baseline"/>
                <w:lang w:val="en-US" w:eastAsia="zh-CN"/>
              </w:rPr>
            </w:pPr>
          </w:p>
        </w:tc>
      </w:tr>
      <w:tr w14:paraId="4729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B1E77DF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例</w:t>
            </w:r>
          </w:p>
        </w:tc>
        <w:tc>
          <w:tcPr>
            <w:tcW w:w="1009" w:type="dxa"/>
            <w:vAlign w:val="center"/>
          </w:tcPr>
          <w:p w14:paraId="B12CB0C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张三</w:t>
            </w:r>
          </w:p>
        </w:tc>
        <w:tc>
          <w:tcPr>
            <w:tcW w:w="2209" w:type="dxa"/>
            <w:vAlign w:val="center"/>
          </w:tcPr>
          <w:p w14:paraId="21B1052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w:t>
            </w:r>
          </w:p>
        </w:tc>
        <w:tc>
          <w:tcPr>
            <w:tcW w:w="2032" w:type="dxa"/>
            <w:vAlign w:val="center"/>
          </w:tcPr>
          <w:p w14:paraId="D08E1DE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w:t>
            </w:r>
          </w:p>
        </w:tc>
        <w:tc>
          <w:tcPr>
            <w:tcW w:w="1323" w:type="dxa"/>
            <w:vAlign w:val="center"/>
          </w:tcPr>
          <w:p w14:paraId="64C23B5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w:t>
            </w:r>
          </w:p>
        </w:tc>
        <w:tc>
          <w:tcPr>
            <w:tcW w:w="1295" w:type="dxa"/>
            <w:vAlign w:val="center"/>
          </w:tcPr>
          <w:p w14:paraId="BE5BB1F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①、③</w:t>
            </w:r>
          </w:p>
        </w:tc>
        <w:tc>
          <w:tcPr>
            <w:tcW w:w="1377" w:type="dxa"/>
            <w:vAlign w:val="center"/>
          </w:tcPr>
          <w:p w14:paraId="34B7CAE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10、15</w:t>
            </w:r>
          </w:p>
        </w:tc>
        <w:tc>
          <w:tcPr>
            <w:tcW w:w="1105" w:type="dxa"/>
            <w:vAlign w:val="center"/>
          </w:tcPr>
          <w:p w14:paraId="38E1EAE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w:t>
            </w:r>
          </w:p>
        </w:tc>
        <w:tc>
          <w:tcPr>
            <w:tcW w:w="1459" w:type="dxa"/>
            <w:vAlign w:val="center"/>
          </w:tcPr>
          <w:p w14:paraId="256EB88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w:t>
            </w:r>
          </w:p>
        </w:tc>
        <w:tc>
          <w:tcPr>
            <w:tcW w:w="1705" w:type="dxa"/>
            <w:vAlign w:val="center"/>
          </w:tcPr>
          <w:p w14:paraId="B846C3D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w:t>
            </w:r>
          </w:p>
        </w:tc>
      </w:tr>
      <w:tr w14:paraId="34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FC9ABB7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551D516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5E41186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DECF120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A2EB313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FFFF368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FBC8586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FA6E0D4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1205D75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18254D9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7E0F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C9FAE36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B8BBBFB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7C54DBF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3154462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6D0FBD5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8D12565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88195E6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609D2DB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AA6E24D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E3C9AC5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DBD6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vAlign w:val="center"/>
          </w:tcPr>
          <w:p w14:paraId="4F0406E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D44A9CD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2C65B4C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689F45A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DDC31FD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8CD0542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161671F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8BFC653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F645445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C5B7FF0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7D32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34EEA2E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6723D73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8C2CE46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C387B37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4290A29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79C5FC6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FA4FBAD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30075AF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5A5F568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06B29C4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33EC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62D9FDC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4C9671D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89E20C6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0C04681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703CD48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841941F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1D5A1A5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09FC8BF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A29BC02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C5CB96F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AB29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1C0675F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2326987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AF36022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3E37FC9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23B7A42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BEA9A55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A447D20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4AA8887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4D5326D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CA25902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3BE5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20F0B24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F3524E4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70C29A6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ADE4C1F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DBAE229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017B21F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02BD38D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4D3AA9E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68BF698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04A3407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21FA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8B0DF48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FFCFFBA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2AD7703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08B0059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B6FD986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0D7F3F3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C86D675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6ED545D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5B34811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F83AAB0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B63A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453EE7C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2D12C92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03D1735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C5A78D4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D8A14ED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031831C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FCE2909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439203E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03A815A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5131ADC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7309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01F7E59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DBBCB7F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A3673C0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F806056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EF89FB7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CC15EB9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429F171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337A5E5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C47496A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609B1DA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523D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408E702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BE40F0C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A901228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3AD303A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08E10A3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AC8A91E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D45F340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80D22F6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373535A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F3519DB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3DBD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Align w:val="center"/>
          </w:tcPr>
          <w:p w14:paraId="E1A3409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009" w:type="dxa"/>
            <w:vAlign w:val="center"/>
          </w:tcPr>
          <w:p w14:paraId="4CEC7A5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209" w:type="dxa"/>
            <w:vAlign w:val="center"/>
          </w:tcPr>
          <w:p w14:paraId="208F159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2032" w:type="dxa"/>
            <w:vAlign w:val="center"/>
          </w:tcPr>
          <w:p w14:paraId="12A4842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23" w:type="dxa"/>
            <w:vAlign w:val="center"/>
          </w:tcPr>
          <w:p w14:paraId="58B0579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295" w:type="dxa"/>
            <w:vAlign w:val="center"/>
          </w:tcPr>
          <w:p w14:paraId="D02E369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77" w:type="dxa"/>
            <w:vAlign w:val="center"/>
          </w:tcPr>
          <w:p w14:paraId="B490C62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5" w:type="dxa"/>
            <w:vAlign w:val="center"/>
          </w:tcPr>
          <w:p w14:paraId="1389A7D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459" w:type="dxa"/>
            <w:vAlign w:val="center"/>
          </w:tcPr>
          <w:p w14:paraId="C0002E0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705" w:type="dxa"/>
            <w:vAlign w:val="center"/>
          </w:tcPr>
          <w:p w14:paraId="B2DDC37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bl>
    <w:p w14:paraId="053E838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备注：核减类型为①</w:t>
      </w:r>
      <w:r>
        <w:rPr>
          <w:rFonts w:hint="eastAsia" w:ascii="仿宋_GB2312" w:hAnsi="仿宋_GB2312" w:eastAsia="仿宋_GB2312" w:cs="仿宋_GB2312"/>
          <w:color w:val="auto"/>
          <w:sz w:val="24"/>
          <w:szCs w:val="24"/>
          <w:lang w:val="en-US" w:eastAsia="zh-CN"/>
        </w:rPr>
        <w:t>林地</w:t>
      </w:r>
      <w:r>
        <w:rPr>
          <w:rFonts w:hint="eastAsia" w:ascii="仿宋_GB2312" w:hAnsi="仿宋_GB2312" w:cs="仿宋_GB2312"/>
          <w:color w:val="auto"/>
          <w:sz w:val="24"/>
          <w:szCs w:val="24"/>
          <w:lang w:val="en-US" w:eastAsia="zh-CN"/>
        </w:rPr>
        <w:t>②</w:t>
      </w:r>
      <w:r>
        <w:rPr>
          <w:rFonts w:hint="eastAsia" w:ascii="仿宋_GB2312" w:hAnsi="仿宋_GB2312" w:eastAsia="仿宋_GB2312" w:cs="仿宋_GB2312"/>
          <w:color w:val="auto"/>
          <w:sz w:val="24"/>
          <w:szCs w:val="24"/>
          <w:lang w:val="en-US" w:eastAsia="zh-CN"/>
        </w:rPr>
        <w:t>作为畜牧（水场）养殖场使用的耕地</w:t>
      </w:r>
      <w:r>
        <w:rPr>
          <w:rFonts w:hint="eastAsia" w:ascii="仿宋_GB2312" w:hAnsi="仿宋_GB2312" w:cs="仿宋_GB2312"/>
          <w:color w:val="auto"/>
          <w:sz w:val="24"/>
          <w:szCs w:val="24"/>
          <w:lang w:val="en-US" w:eastAsia="zh-CN"/>
        </w:rPr>
        <w:t>③</w:t>
      </w:r>
      <w:r>
        <w:rPr>
          <w:rFonts w:hint="eastAsia" w:ascii="仿宋_GB2312" w:hAnsi="仿宋_GB2312" w:eastAsia="仿宋_GB2312" w:cs="仿宋_GB2312"/>
          <w:color w:val="auto"/>
          <w:sz w:val="24"/>
          <w:szCs w:val="24"/>
          <w:lang w:val="en-US" w:eastAsia="zh-CN"/>
        </w:rPr>
        <w:t>成片粮田转为设施农业用地</w:t>
      </w:r>
      <w:r>
        <w:rPr>
          <w:rFonts w:hint="eastAsia" w:ascii="仿宋_GB2312" w:hAnsi="仿宋_GB2312" w:cs="仿宋_GB2312"/>
          <w:color w:val="auto"/>
          <w:sz w:val="24"/>
          <w:szCs w:val="24"/>
          <w:lang w:val="en-US" w:eastAsia="zh-CN"/>
        </w:rPr>
        <w:t>④</w:t>
      </w:r>
      <w:r>
        <w:rPr>
          <w:rFonts w:hint="eastAsia" w:ascii="仿宋_GB2312" w:hAnsi="仿宋_GB2312" w:eastAsia="仿宋_GB2312" w:cs="仿宋_GB2312"/>
          <w:color w:val="auto"/>
          <w:sz w:val="24"/>
          <w:szCs w:val="24"/>
          <w:lang w:val="en-US" w:eastAsia="zh-CN"/>
        </w:rPr>
        <w:t>非农业征</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占</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用耕地</w:t>
      </w:r>
      <w:r>
        <w:rPr>
          <w:rFonts w:hint="eastAsia" w:ascii="仿宋_GB2312" w:hAnsi="仿宋_GB2312" w:cs="仿宋_GB2312"/>
          <w:color w:val="auto"/>
          <w:sz w:val="24"/>
          <w:szCs w:val="24"/>
          <w:lang w:val="en-US" w:eastAsia="zh-CN"/>
        </w:rPr>
        <w:t>⑤</w:t>
      </w:r>
      <w:r>
        <w:rPr>
          <w:rFonts w:hint="eastAsia" w:ascii="仿宋_GB2312" w:hAnsi="仿宋_GB2312" w:eastAsia="仿宋_GB2312" w:cs="仿宋_GB2312"/>
          <w:color w:val="auto"/>
          <w:sz w:val="24"/>
          <w:szCs w:val="24"/>
          <w:lang w:val="en-US" w:eastAsia="zh-CN"/>
        </w:rPr>
        <w:t>占补平衡中“补”的面积</w:t>
      </w:r>
      <w:r>
        <w:rPr>
          <w:rFonts w:hint="eastAsia" w:ascii="仿宋_GB2312" w:hAnsi="仿宋_GB2312" w:cs="仿宋_GB2312"/>
          <w:color w:val="auto"/>
          <w:sz w:val="24"/>
          <w:szCs w:val="24"/>
          <w:lang w:val="en-US" w:eastAsia="zh-CN"/>
        </w:rPr>
        <w:t>⑥</w:t>
      </w:r>
      <w:r>
        <w:rPr>
          <w:rFonts w:hint="eastAsia" w:ascii="仿宋_GB2312" w:hAnsi="仿宋_GB2312" w:eastAsia="仿宋_GB2312" w:cs="仿宋_GB2312"/>
          <w:color w:val="auto"/>
          <w:sz w:val="24"/>
          <w:szCs w:val="24"/>
          <w:lang w:val="en-US" w:eastAsia="zh-CN"/>
        </w:rPr>
        <w:t>质量达不到耕种条件</w:t>
      </w:r>
      <w:r>
        <w:rPr>
          <w:rFonts w:hint="eastAsia" w:ascii="仿宋_GB2312" w:hAnsi="仿宋_GB2312" w:cs="仿宋_GB2312"/>
          <w:color w:val="auto"/>
          <w:sz w:val="24"/>
          <w:szCs w:val="24"/>
          <w:lang w:val="en-US" w:eastAsia="zh-CN"/>
        </w:rPr>
        <w:t>⑦</w:t>
      </w:r>
      <w:r>
        <w:rPr>
          <w:rFonts w:hint="eastAsia" w:ascii="仿宋_GB2312" w:hAnsi="仿宋_GB2312" w:eastAsia="仿宋_GB2312" w:cs="仿宋_GB2312"/>
          <w:color w:val="auto"/>
          <w:sz w:val="24"/>
          <w:szCs w:val="24"/>
          <w:lang w:val="en-US" w:eastAsia="zh-CN"/>
        </w:rPr>
        <w:t>抛荒一年以上的</w:t>
      </w:r>
      <w:r>
        <w:rPr>
          <w:rFonts w:hint="eastAsia" w:ascii="仿宋_GB2312" w:hAnsi="仿宋_GB2312" w:cs="仿宋_GB2312"/>
          <w:color w:val="auto"/>
          <w:sz w:val="24"/>
          <w:szCs w:val="24"/>
          <w:lang w:val="en-US" w:eastAsia="zh-CN"/>
        </w:rPr>
        <w:t>耕地，选取相对应序号填入表格，涉及多个类型的，用顿号隔开</w:t>
      </w:r>
    </w:p>
    <w:p w14:paraId="D2B81527">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left"/>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 xml:space="preserve">村主干：                         填报人：                       </w:t>
      </w:r>
    </w:p>
    <w:p w14:paraId="2BF61BD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国标黑体-GB/T 2312" w:hAnsi="国标黑体-GB/T 2312" w:eastAsia="国标黑体-GB/T 2312" w:cs="国标黑体-GB/T 2312"/>
          <w:color w:val="auto"/>
          <w:sz w:val="28"/>
          <w:szCs w:val="28"/>
          <w:lang w:val="en-US" w:eastAsia="zh-CN"/>
        </w:rPr>
      </w:pPr>
      <w:r>
        <w:rPr>
          <w:rFonts w:hint="eastAsia" w:ascii="仿宋_GB2312" w:hAnsi="仿宋_GB2312" w:cs="仿宋_GB2312"/>
          <w:color w:val="auto"/>
          <w:sz w:val="28"/>
          <w:szCs w:val="28"/>
          <w:lang w:val="en-US" w:eastAsia="zh-CN"/>
        </w:rPr>
        <w:t xml:space="preserve">                                                                   制表日期：     年   月   日</w:t>
      </w:r>
    </w:p>
    <w:p w14:paraId="7E1C838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36"/>
          <w:szCs w:val="36"/>
          <w:lang w:val="en-US" w:eastAsia="zh-CN"/>
        </w:rPr>
        <w:sectPr>
          <w:pgSz w:w="16838" w:h="11906" w:orient="landscape"/>
          <w:pgMar w:top="1531" w:right="1417" w:bottom="1417" w:left="1531" w:header="851" w:footer="992" w:gutter="0"/>
          <w:pgNumType w:fmt="decimal"/>
          <w:cols w:space="720" w:num="1"/>
          <w:rtlGutter w:val="0"/>
          <w:docGrid w:type="lines" w:linePitch="312" w:charSpace="0"/>
        </w:sectPr>
      </w:pPr>
    </w:p>
    <w:p w14:paraId="4A91B790">
      <w:pPr>
        <w:rPr>
          <w:rFonts w:hint="eastAsia" w:ascii="方正小标宋简体" w:hAnsi="方正小标宋简体" w:eastAsia="方正小标宋简体" w:cs="方正小标宋简体"/>
          <w:color w:val="auto"/>
          <w:sz w:val="36"/>
          <w:szCs w:val="36"/>
          <w:lang w:val="en-US" w:eastAsia="zh-CN"/>
        </w:rPr>
      </w:pPr>
      <w:r>
        <w:rPr>
          <w:rFonts w:hint="eastAsia" w:ascii="国标黑体-GB/T 2312" w:hAnsi="国标黑体-GB/T 2312" w:eastAsia="国标黑体-GB/T 2312" w:cs="国标黑体-GB/T 2312"/>
          <w:color w:val="auto"/>
          <w:sz w:val="28"/>
          <w:szCs w:val="28"/>
          <w:lang w:val="en-US" w:eastAsia="zh-CN"/>
        </w:rPr>
        <w:t>附件2：</w:t>
      </w:r>
    </w:p>
    <w:p w14:paraId="C956EAC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cs="仿宋_GB2312"/>
          <w:color w:val="auto"/>
          <w:sz w:val="24"/>
          <w:szCs w:val="24"/>
          <w:lang w:val="en-US" w:eastAsia="zh-CN"/>
        </w:rPr>
      </w:pPr>
      <w:r>
        <w:rPr>
          <w:rFonts w:hint="eastAsia" w:ascii="方正小标宋简体" w:hAnsi="方正小标宋简体" w:eastAsia="方正小标宋简体" w:cs="方正小标宋简体"/>
          <w:color w:val="auto"/>
          <w:sz w:val="36"/>
          <w:szCs w:val="36"/>
          <w:lang w:val="en-US" w:eastAsia="zh-CN"/>
        </w:rPr>
        <w:t>2025年三元区</w:t>
      </w:r>
      <w:r>
        <w:rPr>
          <w:rFonts w:hint="eastAsia" w:ascii="方正小标宋简体" w:hAnsi="方正小标宋简体" w:eastAsia="方正小标宋简体" w:cs="方正小标宋简体"/>
          <w:color w:val="auto"/>
          <w:sz w:val="36"/>
          <w:szCs w:val="36"/>
          <w:u w:val="single"/>
          <w:lang w:val="en-US" w:eastAsia="zh-CN"/>
        </w:rPr>
        <w:t xml:space="preserve">    </w:t>
      </w:r>
      <w:r>
        <w:rPr>
          <w:rFonts w:hint="eastAsia" w:ascii="方正小标宋简体" w:hAnsi="方正小标宋简体" w:eastAsia="方正小标宋简体" w:cs="方正小标宋简体"/>
          <w:color w:val="auto"/>
          <w:sz w:val="36"/>
          <w:szCs w:val="36"/>
          <w:lang w:val="en-US" w:eastAsia="zh-CN"/>
        </w:rPr>
        <w:t>乡镇（街道）耕地地力保护补贴汇总表</w:t>
      </w:r>
    </w:p>
    <w:p w14:paraId="A2FEA41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小标宋简体" w:hAnsi="方正小标宋简体" w:eastAsia="方正小标宋简体" w:cs="方正小标宋简体"/>
          <w:color w:val="auto"/>
          <w:sz w:val="36"/>
          <w:szCs w:val="36"/>
          <w:lang w:val="en-US" w:eastAsia="zh-CN"/>
        </w:rPr>
      </w:pPr>
      <w:r>
        <w:rPr>
          <w:rFonts w:hint="eastAsia" w:ascii="仿宋_GB2312" w:hAnsi="仿宋_GB2312" w:cs="仿宋_GB2312"/>
          <w:color w:val="auto"/>
          <w:sz w:val="24"/>
          <w:szCs w:val="24"/>
          <w:lang w:val="en-US" w:eastAsia="zh-CN"/>
        </w:rPr>
        <w:t>乡镇（街道）盖章：                                                单位：亩</w:t>
      </w:r>
    </w:p>
    <w:tbl>
      <w:tblPr>
        <w:tblStyle w:val="5"/>
        <w:tblpPr w:leftFromText="180" w:rightFromText="180" w:vertAnchor="text" w:horzAnchor="page" w:tblpX="1604" w:tblpY="189"/>
        <w:tblOverlap w:val="never"/>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390"/>
        <w:gridCol w:w="819"/>
        <w:gridCol w:w="1663"/>
        <w:gridCol w:w="996"/>
        <w:gridCol w:w="1104"/>
        <w:gridCol w:w="1641"/>
        <w:gridCol w:w="955"/>
      </w:tblGrid>
      <w:tr w14:paraId="65D37432">
        <w:tblPrEx>
          <w:tblCellMar>
            <w:top w:w="0" w:type="dxa"/>
            <w:left w:w="108" w:type="dxa"/>
            <w:bottom w:w="0" w:type="dxa"/>
            <w:right w:w="108" w:type="dxa"/>
          </w:tblCellMar>
        </w:tblPrEx>
        <w:trPr>
          <w:trHeight w:val="463" w:hRule="atLeast"/>
        </w:trPr>
        <w:tc>
          <w:tcPr>
            <w:tcW w:w="431" w:type="dxa"/>
            <w:vMerge w:val="restart"/>
            <w:vAlign w:val="center"/>
          </w:tcPr>
          <w:p w14:paraId="88C1C3D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序号</w:t>
            </w:r>
          </w:p>
        </w:tc>
        <w:tc>
          <w:tcPr>
            <w:tcW w:w="1390" w:type="dxa"/>
            <w:vMerge w:val="restart"/>
            <w:vAlign w:val="center"/>
          </w:tcPr>
          <w:p w14:paraId="38D03AF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行政村</w:t>
            </w:r>
          </w:p>
        </w:tc>
        <w:tc>
          <w:tcPr>
            <w:tcW w:w="819" w:type="dxa"/>
            <w:vMerge w:val="restart"/>
            <w:vAlign w:val="center"/>
          </w:tcPr>
          <w:p w14:paraId="215CDF5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户数（户）</w:t>
            </w:r>
          </w:p>
        </w:tc>
        <w:tc>
          <w:tcPr>
            <w:tcW w:w="1663" w:type="dxa"/>
            <w:vMerge w:val="restart"/>
            <w:vAlign w:val="center"/>
          </w:tcPr>
          <w:p w14:paraId="8D14618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确权/二轮承包或三调面积</w:t>
            </w:r>
          </w:p>
        </w:tc>
        <w:tc>
          <w:tcPr>
            <w:tcW w:w="996" w:type="dxa"/>
            <w:vMerge w:val="restart"/>
            <w:vAlign w:val="center"/>
          </w:tcPr>
          <w:p w14:paraId="76AAD57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核减面积</w:t>
            </w:r>
          </w:p>
        </w:tc>
        <w:tc>
          <w:tcPr>
            <w:tcW w:w="1104" w:type="dxa"/>
            <w:vMerge w:val="restart"/>
            <w:vAlign w:val="center"/>
          </w:tcPr>
          <w:p w14:paraId="3182F1D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应补面积</w:t>
            </w:r>
          </w:p>
        </w:tc>
        <w:tc>
          <w:tcPr>
            <w:tcW w:w="1641" w:type="dxa"/>
            <w:vMerge w:val="restart"/>
            <w:vAlign w:val="center"/>
          </w:tcPr>
          <w:p w14:paraId="9A98187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再生稻催芽肥补贴面积</w:t>
            </w:r>
          </w:p>
        </w:tc>
        <w:tc>
          <w:tcPr>
            <w:tcW w:w="955" w:type="dxa"/>
            <w:vMerge w:val="restart"/>
            <w:vAlign w:val="center"/>
          </w:tcPr>
          <w:p w14:paraId="87D9B3C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备注</w:t>
            </w:r>
          </w:p>
        </w:tc>
      </w:tr>
      <w:tr w14:paraId="C455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1" w:type="dxa"/>
            <w:vMerge w:val="continue"/>
            <w:vAlign w:val="center"/>
          </w:tcPr>
          <w:p w14:paraId="58C876CB">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1390" w:type="dxa"/>
            <w:vMerge w:val="continue"/>
            <w:vAlign w:val="center"/>
          </w:tcPr>
          <w:p w14:paraId="BB1517E8">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819" w:type="dxa"/>
            <w:vMerge w:val="continue"/>
            <w:vAlign w:val="center"/>
          </w:tcPr>
          <w:p w14:paraId="5F1CA811">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1663" w:type="dxa"/>
            <w:vMerge w:val="continue"/>
            <w:vAlign w:val="center"/>
          </w:tcPr>
          <w:p w14:paraId="AD6C6CF9">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996" w:type="dxa"/>
            <w:vMerge w:val="continue"/>
            <w:vAlign w:val="center"/>
          </w:tcPr>
          <w:p w14:paraId="328520FB">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1104" w:type="dxa"/>
            <w:vMerge w:val="continue"/>
            <w:vAlign w:val="center"/>
          </w:tcPr>
          <w:p w14:paraId="A7D0116B">
            <w:pPr>
              <w:keepNext w:val="0"/>
              <w:keepLines w:val="0"/>
              <w:pageBreakBefore w:val="0"/>
              <w:widowControl w:val="0"/>
              <w:kinsoku/>
              <w:wordWrap/>
              <w:overflowPunct/>
              <w:topLinePunct w:val="0"/>
              <w:autoSpaceDE/>
              <w:autoSpaceDN/>
              <w:bidi w:val="0"/>
              <w:adjustRightInd/>
              <w:snapToGrid/>
              <w:spacing w:line="300" w:lineRule="atLeast"/>
              <w:jc w:val="center"/>
              <w:textAlignment w:val="auto"/>
            </w:pPr>
          </w:p>
        </w:tc>
        <w:tc>
          <w:tcPr>
            <w:tcW w:w="1641" w:type="dxa"/>
            <w:vMerge w:val="continue"/>
            <w:vAlign w:val="center"/>
          </w:tcPr>
          <w:p w14:paraId="412B451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_GB2312" w:hAnsi="仿宋_GB2312" w:cs="仿宋_GB2312"/>
                <w:b/>
                <w:bCs/>
                <w:color w:val="auto"/>
                <w:sz w:val="24"/>
                <w:szCs w:val="24"/>
                <w:vertAlign w:val="baseline"/>
                <w:lang w:val="en-US" w:eastAsia="zh-CN"/>
              </w:rPr>
            </w:pPr>
          </w:p>
        </w:tc>
        <w:tc>
          <w:tcPr>
            <w:tcW w:w="955" w:type="dxa"/>
            <w:vMerge w:val="continue"/>
            <w:vAlign w:val="center"/>
          </w:tcPr>
          <w:p w14:paraId="D5B7039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_GB2312" w:hAnsi="仿宋_GB2312" w:cs="仿宋_GB2312"/>
                <w:b/>
                <w:bCs/>
                <w:color w:val="auto"/>
                <w:sz w:val="24"/>
                <w:szCs w:val="24"/>
                <w:vertAlign w:val="baseline"/>
                <w:lang w:val="en-US" w:eastAsia="zh-CN"/>
              </w:rPr>
            </w:pPr>
          </w:p>
        </w:tc>
      </w:tr>
      <w:tr w14:paraId="FAE1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B2AC512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3BBADE3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2821C84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8F54271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5DAA46A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0528D54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E11C830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C3191CB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F4DE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DED46D0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DF3E533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40292FC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B98142B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7432175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1EBB475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E0EE4E7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3A8E779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9E3F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D40BA00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3760A36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8E7F1BC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932B136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ED528E8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9482DCB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DBBA67B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FF2136B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D98F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216CDDA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71F74F7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A6158B6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AD13D51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73E1641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410A3DB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4945D1D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E84337D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B5A5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9B211E4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DDFCC77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0E7995E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0CD5654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27E89D7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33189F1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F1720D3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67FFDCD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7300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431" w:type="dxa"/>
            <w:vAlign w:val="center"/>
          </w:tcPr>
          <w:p w14:paraId="AFFC259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E7B5A1A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27D4C46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7A64982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474BA4F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22FBCB9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5A57F74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3AE7685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835D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597D73D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9794C83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4484373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62D5614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4530D9E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BE17104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7E2CE8D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FF3D9EF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05DB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B6C8532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C7403B7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A868C04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9F64DD0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4FA2572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359FC01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3A88F5E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AA62436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87ED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431" w:type="dxa"/>
            <w:vAlign w:val="center"/>
          </w:tcPr>
          <w:p w14:paraId="68FEF2E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B4BCB65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98923C2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A61D32A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F1A5D1C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5F47D94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8090501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478BC17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59F1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431" w:type="dxa"/>
            <w:vAlign w:val="center"/>
          </w:tcPr>
          <w:p w14:paraId="49F82DA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B9EBFC7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7EC4351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008E57F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416A349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096EEB3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F09D8CB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0EE5015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E0D9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38D9E9E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3AFD794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FEDC875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AA6B0EF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E67640A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E9793B8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B65CF3A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6E81708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A0DC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431" w:type="dxa"/>
            <w:vAlign w:val="center"/>
          </w:tcPr>
          <w:p w14:paraId="6D3B2D0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6C2D75E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9C05164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C3A0F63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2B06747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6C96384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C489BFB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105BFA4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D8FD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089402A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E1CF9F5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F8EB2F9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7B6DAC4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D32EC76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09A0E99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EB66D4D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9C3B947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006A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431" w:type="dxa"/>
            <w:vAlign w:val="center"/>
          </w:tcPr>
          <w:p w14:paraId="9D7DDBD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51B304D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3BCB6B8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E07B22B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0AAA4D7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5117158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DA1704C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38AF1532">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0973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5A5465DE">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01E52B39">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B7B359E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8EDB1624">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A45302D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44F1240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173428E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5A19F49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DF41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1" w:type="dxa"/>
            <w:vAlign w:val="center"/>
          </w:tcPr>
          <w:p w14:paraId="5A1C7596">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7245ED2B">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A46D7F2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F22CF720">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CBE42EF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366CD36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4CAA03C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1DE110BF">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r w14:paraId="4B0D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431" w:type="dxa"/>
            <w:vAlign w:val="center"/>
          </w:tcPr>
          <w:p w14:paraId="56C8AABA">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390" w:type="dxa"/>
            <w:vAlign w:val="center"/>
          </w:tcPr>
          <w:p w14:paraId="12533C53">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819" w:type="dxa"/>
            <w:vAlign w:val="center"/>
          </w:tcPr>
          <w:p w14:paraId="736FF257">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5945B1EC">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96" w:type="dxa"/>
            <w:vAlign w:val="center"/>
          </w:tcPr>
          <w:p w14:paraId="C3F38F51">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104" w:type="dxa"/>
            <w:vAlign w:val="center"/>
          </w:tcPr>
          <w:p w14:paraId="54FE77AD">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1641" w:type="dxa"/>
            <w:vAlign w:val="center"/>
          </w:tcPr>
          <w:p w14:paraId="98BBA1B5">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c>
          <w:tcPr>
            <w:tcW w:w="955" w:type="dxa"/>
            <w:vAlign w:val="center"/>
          </w:tcPr>
          <w:p w14:paraId="5BF5E188">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default" w:ascii="仿宋_GB2312" w:hAnsi="仿宋_GB2312" w:cs="仿宋_GB2312"/>
                <w:color w:val="auto"/>
                <w:sz w:val="24"/>
                <w:szCs w:val="24"/>
                <w:vertAlign w:val="baseline"/>
                <w:lang w:val="en-US" w:eastAsia="zh-CN"/>
              </w:rPr>
            </w:pPr>
          </w:p>
        </w:tc>
      </w:tr>
    </w:tbl>
    <w:p w14:paraId="2456273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 xml:space="preserve">主要负责人：                    填报人：         </w:t>
      </w:r>
    </w:p>
    <w:p w14:paraId="02E77C4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cs="仿宋_GB2312"/>
          <w:color w:val="auto"/>
          <w:sz w:val="28"/>
          <w:szCs w:val="28"/>
          <w:lang w:val="en-US" w:eastAsia="zh-CN"/>
        </w:rPr>
      </w:pPr>
    </w:p>
    <w:p w14:paraId="0145C31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国标黑体-GB/T 2312" w:hAnsi="国标黑体-GB/T 2312" w:eastAsia="国标黑体-GB/T 2312" w:cs="国标黑体-GB/T 2312"/>
          <w:color w:val="auto"/>
          <w:sz w:val="28"/>
          <w:szCs w:val="28"/>
          <w:lang w:val="en-US" w:eastAsia="zh-CN"/>
        </w:rPr>
      </w:pPr>
      <w:r>
        <w:rPr>
          <w:rFonts w:hint="eastAsia" w:ascii="仿宋_GB2312" w:hAnsi="仿宋_GB2312" w:cs="仿宋_GB2312"/>
          <w:color w:val="auto"/>
          <w:sz w:val="28"/>
          <w:szCs w:val="28"/>
          <w:lang w:val="en-US" w:eastAsia="zh-CN"/>
        </w:rPr>
        <w:t>分管负责人：                    制表日期：     年   月   日</w:t>
      </w:r>
    </w:p>
    <w:p w14:paraId="14C153F1">
      <w:pPr>
        <w:rPr>
          <w:rFonts w:hint="eastAsia" w:ascii="国标黑体-GB/T 2312" w:hAnsi="国标黑体-GB/T 2312" w:eastAsia="国标黑体-GB/T 2312" w:cs="国标黑体-GB/T 2312"/>
          <w:color w:val="auto"/>
          <w:sz w:val="28"/>
          <w:szCs w:val="28"/>
          <w:lang w:val="en-US" w:eastAsia="zh-CN"/>
        </w:rPr>
        <w:sectPr>
          <w:pgSz w:w="11906" w:h="16838"/>
          <w:pgMar w:top="2098" w:right="1417" w:bottom="1984" w:left="1531" w:header="851" w:footer="992" w:gutter="0"/>
          <w:pgNumType w:fmt="decimal"/>
          <w:cols w:space="720" w:num="1"/>
          <w:rtlGutter w:val="0"/>
          <w:docGrid w:type="lines" w:linePitch="312" w:charSpace="0"/>
        </w:sectPr>
      </w:pPr>
    </w:p>
    <w:p w14:paraId="A9CA9320">
      <w:pPr>
        <w:rPr>
          <w:rFonts w:hint="eastAsia" w:ascii="方正小标宋简体" w:hAnsi="方正小标宋简体" w:eastAsia="方正小标宋简体" w:cs="方正小标宋简体"/>
          <w:color w:val="auto"/>
          <w:sz w:val="36"/>
          <w:szCs w:val="36"/>
          <w:lang w:val="en-US" w:eastAsia="zh-CN"/>
        </w:rPr>
      </w:pPr>
      <w:r>
        <w:rPr>
          <w:rFonts w:hint="eastAsia" w:ascii="国标黑体-GB/T 2312" w:hAnsi="国标黑体-GB/T 2312" w:eastAsia="国标黑体-GB/T 2312" w:cs="国标黑体-GB/T 2312"/>
          <w:color w:val="auto"/>
          <w:sz w:val="28"/>
          <w:szCs w:val="28"/>
          <w:lang w:val="en-US" w:eastAsia="zh-CN"/>
        </w:rPr>
        <w:t>附件3：</w:t>
      </w:r>
    </w:p>
    <w:p w14:paraId="E5457E3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cs="仿宋_GB2312"/>
          <w:color w:val="auto"/>
          <w:sz w:val="24"/>
          <w:szCs w:val="24"/>
          <w:lang w:val="en-US" w:eastAsia="zh-CN"/>
        </w:rPr>
      </w:pPr>
      <w:r>
        <w:rPr>
          <w:rFonts w:hint="eastAsia" w:ascii="方正小标宋简体" w:hAnsi="方正小标宋简体" w:eastAsia="方正小标宋简体" w:cs="方正小标宋简体"/>
          <w:color w:val="auto"/>
          <w:sz w:val="36"/>
          <w:szCs w:val="36"/>
          <w:lang w:val="en-US" w:eastAsia="zh-CN"/>
        </w:rPr>
        <w:t>2025年三元区</w:t>
      </w:r>
      <w:r>
        <w:rPr>
          <w:rFonts w:hint="eastAsia" w:ascii="方正小标宋简体" w:hAnsi="方正小标宋简体" w:eastAsia="方正小标宋简体" w:cs="方正小标宋简体"/>
          <w:color w:val="auto"/>
          <w:sz w:val="36"/>
          <w:szCs w:val="36"/>
          <w:u w:val="single"/>
          <w:lang w:val="en-US" w:eastAsia="zh-CN"/>
        </w:rPr>
        <w:t xml:space="preserve">     </w:t>
      </w:r>
      <w:r>
        <w:rPr>
          <w:rFonts w:hint="eastAsia" w:ascii="方正小标宋简体" w:hAnsi="方正小标宋简体" w:eastAsia="方正小标宋简体" w:cs="方正小标宋简体"/>
          <w:color w:val="auto"/>
          <w:sz w:val="36"/>
          <w:szCs w:val="36"/>
          <w:lang w:val="en-US" w:eastAsia="zh-CN"/>
        </w:rPr>
        <w:t>乡镇（街道）</w:t>
      </w:r>
      <w:r>
        <w:rPr>
          <w:rFonts w:hint="eastAsia" w:ascii="方正小标宋简体" w:hAnsi="方正小标宋简体" w:eastAsia="方正小标宋简体" w:cs="方正小标宋简体"/>
          <w:color w:val="auto"/>
          <w:sz w:val="36"/>
          <w:szCs w:val="36"/>
          <w:u w:val="single"/>
          <w:lang w:val="en-US" w:eastAsia="zh-CN"/>
        </w:rPr>
        <w:t xml:space="preserve">     </w:t>
      </w:r>
      <w:r>
        <w:rPr>
          <w:rFonts w:hint="eastAsia" w:ascii="方正小标宋简体" w:hAnsi="方正小标宋简体" w:eastAsia="方正小标宋简体" w:cs="方正小标宋简体"/>
          <w:color w:val="auto"/>
          <w:sz w:val="36"/>
          <w:szCs w:val="36"/>
          <w:lang w:val="en-US" w:eastAsia="zh-CN"/>
        </w:rPr>
        <w:t>村（居）种粮大户信息表</w:t>
      </w:r>
    </w:p>
    <w:p w14:paraId="8DEB80F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小标宋简体" w:hAnsi="方正小标宋简体" w:eastAsia="方正小标宋简体" w:cs="方正小标宋简体"/>
          <w:color w:val="auto"/>
          <w:sz w:val="36"/>
          <w:szCs w:val="36"/>
          <w:lang w:val="en-US" w:eastAsia="zh-CN"/>
        </w:rPr>
      </w:pPr>
      <w:r>
        <w:rPr>
          <w:rFonts w:hint="eastAsia" w:ascii="仿宋_GB2312" w:hAnsi="仿宋_GB2312" w:cs="仿宋_GB2312"/>
          <w:color w:val="auto"/>
          <w:sz w:val="24"/>
          <w:szCs w:val="24"/>
          <w:lang w:val="en-US" w:eastAsia="zh-CN"/>
        </w:rPr>
        <w:t>村（居）委会盖章：                                                                                      单位：亩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950"/>
        <w:gridCol w:w="2536"/>
        <w:gridCol w:w="2523"/>
        <w:gridCol w:w="1432"/>
        <w:gridCol w:w="1977"/>
        <w:gridCol w:w="1814"/>
        <w:gridCol w:w="1153"/>
      </w:tblGrid>
      <w:tr w14:paraId="1372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1" w:type="dxa"/>
            <w:vAlign w:val="center"/>
          </w:tcPr>
          <w:p w14:paraId="733E6A1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序号</w:t>
            </w:r>
          </w:p>
        </w:tc>
        <w:tc>
          <w:tcPr>
            <w:tcW w:w="1950" w:type="dxa"/>
            <w:vAlign w:val="center"/>
          </w:tcPr>
          <w:p w14:paraId="308203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种粮大户姓名</w:t>
            </w:r>
          </w:p>
        </w:tc>
        <w:tc>
          <w:tcPr>
            <w:tcW w:w="2536" w:type="dxa"/>
            <w:vAlign w:val="center"/>
          </w:tcPr>
          <w:p w14:paraId="995A69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身份证号码</w:t>
            </w:r>
          </w:p>
        </w:tc>
        <w:tc>
          <w:tcPr>
            <w:tcW w:w="2523" w:type="dxa"/>
            <w:vAlign w:val="center"/>
          </w:tcPr>
          <w:p w14:paraId="414724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一卡通账号</w:t>
            </w:r>
          </w:p>
        </w:tc>
        <w:tc>
          <w:tcPr>
            <w:tcW w:w="1432" w:type="dxa"/>
            <w:vAlign w:val="center"/>
          </w:tcPr>
          <w:p w14:paraId="5CF981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种植面积</w:t>
            </w:r>
          </w:p>
        </w:tc>
        <w:tc>
          <w:tcPr>
            <w:tcW w:w="1977" w:type="dxa"/>
            <w:vAlign w:val="center"/>
          </w:tcPr>
          <w:p w14:paraId="C3D4F0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电话号码</w:t>
            </w:r>
          </w:p>
        </w:tc>
        <w:tc>
          <w:tcPr>
            <w:tcW w:w="1814" w:type="dxa"/>
            <w:vAlign w:val="center"/>
          </w:tcPr>
          <w:p w14:paraId="ABCDEA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农户签字</w:t>
            </w:r>
          </w:p>
        </w:tc>
        <w:tc>
          <w:tcPr>
            <w:tcW w:w="1153" w:type="dxa"/>
            <w:vAlign w:val="center"/>
          </w:tcPr>
          <w:p w14:paraId="6D34FAA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备注</w:t>
            </w:r>
          </w:p>
        </w:tc>
      </w:tr>
      <w:tr w14:paraId="B7C1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DC9D21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3DC6F2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C8BEB1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8B5AD7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46D5EC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2997CE7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1E8DE3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10687A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AD17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6A6AD6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8D7567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0B410C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939452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4F4DAE0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B49580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1C219A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E8C57C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2F70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1D4D00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1131C8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BC22A2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FD0158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FA79D2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D1C863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1C27D7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997F5F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5B7D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591EFD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967CA8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82C9F4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9D6CBC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4647A8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B1B8175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535B34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F4664F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BD15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46C2931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109696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B45CD0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EBE191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8FA49B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796C0E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30018F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910A8AD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64B7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3321607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846D50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8251297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167181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4EF9AD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143DB5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FA01C9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E33A04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61A2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5616C09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93EB73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0EE2CA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D6876A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AC5AE8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C64979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62BB47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B255BB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691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B3857F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9A05E9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B5B2F5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66CB39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1493E8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3E2798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16E0A7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3A25E40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5645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A01C3B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A53A685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7D35FF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43503D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DF39C7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7C6BCA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8D626D1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EDCF54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63D9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7AF5C40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DFA816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05E62F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528E29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E97E2F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A29920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D2D6027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D86D04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E7C0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21" w:type="dxa"/>
            <w:vAlign w:val="center"/>
          </w:tcPr>
          <w:p w14:paraId="2022D6E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50" w:type="dxa"/>
            <w:vAlign w:val="center"/>
          </w:tcPr>
          <w:p w14:paraId="6DC931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36" w:type="dxa"/>
            <w:vAlign w:val="center"/>
          </w:tcPr>
          <w:p w14:paraId="C2F7E1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523" w:type="dxa"/>
            <w:vAlign w:val="center"/>
          </w:tcPr>
          <w:p w14:paraId="D9DD593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32" w:type="dxa"/>
            <w:vAlign w:val="center"/>
          </w:tcPr>
          <w:p w14:paraId="7AA4D20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977" w:type="dxa"/>
            <w:vAlign w:val="center"/>
          </w:tcPr>
          <w:p w14:paraId="74E81D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814" w:type="dxa"/>
            <w:vAlign w:val="center"/>
          </w:tcPr>
          <w:p w14:paraId="CC2EC9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153" w:type="dxa"/>
            <w:vAlign w:val="center"/>
          </w:tcPr>
          <w:p w14:paraId="73931F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bl>
    <w:p w14:paraId="00C7CD05">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备注：种粮大户需提供土地流转合同，并提供身份证和银行卡复印件一张，复印于同一张纸上。表格需签字、盖章，在村公示栏公示7天无异议后，上交乡(镇、街道)。</w:t>
      </w:r>
    </w:p>
    <w:p w14:paraId="DFA1B158">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left"/>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 xml:space="preserve">村主干：                         填报人：                       </w:t>
      </w:r>
    </w:p>
    <w:p w14:paraId="BD36166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国标黑体-GB/T 2312" w:hAnsi="国标黑体-GB/T 2312" w:eastAsia="国标黑体-GB/T 2312" w:cs="国标黑体-GB/T 2312"/>
          <w:color w:val="auto"/>
          <w:sz w:val="28"/>
          <w:szCs w:val="28"/>
          <w:lang w:val="en-US" w:eastAsia="zh-CN"/>
        </w:rPr>
      </w:pPr>
      <w:r>
        <w:rPr>
          <w:rFonts w:hint="eastAsia" w:ascii="仿宋_GB2312" w:hAnsi="仿宋_GB2312" w:cs="仿宋_GB2312"/>
          <w:color w:val="auto"/>
          <w:sz w:val="28"/>
          <w:szCs w:val="28"/>
          <w:lang w:val="en-US" w:eastAsia="zh-CN"/>
        </w:rPr>
        <w:t xml:space="preserve">                                                                   制表日期：     年   月   日</w:t>
      </w:r>
    </w:p>
    <w:p w14:paraId="5A4B08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36"/>
          <w:szCs w:val="36"/>
          <w:lang w:val="en-US" w:eastAsia="zh-CN"/>
        </w:rPr>
        <w:sectPr>
          <w:pgSz w:w="16838" w:h="11906" w:orient="landscape"/>
          <w:pgMar w:top="1531" w:right="1417" w:bottom="1417" w:left="1531" w:header="851" w:footer="992" w:gutter="0"/>
          <w:pgNumType w:fmt="decimal"/>
          <w:cols w:space="720" w:num="1"/>
          <w:rtlGutter w:val="0"/>
          <w:docGrid w:type="lines" w:linePitch="312" w:charSpace="0"/>
        </w:sectPr>
      </w:pPr>
    </w:p>
    <w:p w14:paraId="88DCC197">
      <w:pPr>
        <w:rPr>
          <w:rFonts w:hint="eastAsia" w:ascii="方正小标宋简体" w:hAnsi="方正小标宋简体" w:eastAsia="方正小标宋简体" w:cs="方正小标宋简体"/>
          <w:color w:val="auto"/>
          <w:sz w:val="36"/>
          <w:szCs w:val="36"/>
          <w:lang w:val="en-US" w:eastAsia="zh-CN"/>
        </w:rPr>
      </w:pPr>
      <w:r>
        <w:rPr>
          <w:rFonts w:hint="eastAsia" w:ascii="国标黑体-GB/T 2312" w:hAnsi="国标黑体-GB/T 2312" w:eastAsia="国标黑体-GB/T 2312" w:cs="国标黑体-GB/T 2312"/>
          <w:color w:val="auto"/>
          <w:sz w:val="28"/>
          <w:szCs w:val="28"/>
          <w:lang w:val="en-US" w:eastAsia="zh-CN"/>
        </w:rPr>
        <w:t>附件4：</w:t>
      </w:r>
    </w:p>
    <w:p w14:paraId="8BE40D8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cs="仿宋_GB2312"/>
          <w:color w:val="auto"/>
          <w:sz w:val="24"/>
          <w:szCs w:val="24"/>
          <w:lang w:val="en-US" w:eastAsia="zh-CN"/>
        </w:rPr>
      </w:pPr>
      <w:r>
        <w:rPr>
          <w:rFonts w:hint="eastAsia" w:ascii="方正小标宋简体" w:hAnsi="方正小标宋简体" w:eastAsia="方正小标宋简体" w:cs="方正小标宋简体"/>
          <w:color w:val="auto"/>
          <w:sz w:val="36"/>
          <w:szCs w:val="36"/>
          <w:lang w:val="en-US" w:eastAsia="zh-CN"/>
        </w:rPr>
        <w:t>2025年三元区</w:t>
      </w:r>
      <w:r>
        <w:rPr>
          <w:rFonts w:hint="eastAsia" w:ascii="方正小标宋简体" w:hAnsi="方正小标宋简体" w:eastAsia="方正小标宋简体" w:cs="方正小标宋简体"/>
          <w:color w:val="auto"/>
          <w:sz w:val="36"/>
          <w:szCs w:val="36"/>
          <w:u w:val="single"/>
          <w:lang w:val="en-US" w:eastAsia="zh-CN"/>
        </w:rPr>
        <w:t xml:space="preserve">     </w:t>
      </w:r>
      <w:r>
        <w:rPr>
          <w:rFonts w:hint="eastAsia" w:ascii="方正小标宋简体" w:hAnsi="方正小标宋简体" w:eastAsia="方正小标宋简体" w:cs="方正小标宋简体"/>
          <w:color w:val="auto"/>
          <w:sz w:val="36"/>
          <w:szCs w:val="36"/>
          <w:lang w:val="en-US" w:eastAsia="zh-CN"/>
        </w:rPr>
        <w:t>乡镇（街道）种粮大户汇总表</w:t>
      </w:r>
    </w:p>
    <w:p w14:paraId="1D59B82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小标宋简体" w:hAnsi="方正小标宋简体" w:eastAsia="方正小标宋简体" w:cs="方正小标宋简体"/>
          <w:color w:val="auto"/>
          <w:sz w:val="36"/>
          <w:szCs w:val="36"/>
          <w:lang w:val="en-US" w:eastAsia="zh-CN"/>
        </w:rPr>
      </w:pPr>
      <w:r>
        <w:rPr>
          <w:rFonts w:hint="eastAsia" w:ascii="仿宋_GB2312" w:hAnsi="仿宋_GB2312" w:cs="仿宋_GB2312"/>
          <w:color w:val="auto"/>
          <w:sz w:val="24"/>
          <w:szCs w:val="24"/>
          <w:lang w:val="en-US" w:eastAsia="zh-CN"/>
        </w:rPr>
        <w:t>乡镇（街道）盖章：                                                                                      单位：亩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713"/>
        <w:gridCol w:w="1770"/>
        <w:gridCol w:w="2755"/>
        <w:gridCol w:w="2345"/>
        <w:gridCol w:w="1487"/>
        <w:gridCol w:w="1663"/>
        <w:gridCol w:w="1637"/>
      </w:tblGrid>
      <w:tr w14:paraId="5569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33" w:type="dxa"/>
            <w:vAlign w:val="center"/>
          </w:tcPr>
          <w:p w14:paraId="6004FD0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序号</w:t>
            </w:r>
          </w:p>
        </w:tc>
        <w:tc>
          <w:tcPr>
            <w:tcW w:w="1713" w:type="dxa"/>
            <w:vAlign w:val="center"/>
          </w:tcPr>
          <w:p w14:paraId="810E57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行政村</w:t>
            </w:r>
          </w:p>
        </w:tc>
        <w:tc>
          <w:tcPr>
            <w:tcW w:w="1770" w:type="dxa"/>
            <w:vAlign w:val="center"/>
          </w:tcPr>
          <w:p w14:paraId="402DCF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种粮大户姓名</w:t>
            </w:r>
          </w:p>
        </w:tc>
        <w:tc>
          <w:tcPr>
            <w:tcW w:w="2755" w:type="dxa"/>
            <w:vAlign w:val="center"/>
          </w:tcPr>
          <w:p w14:paraId="DA0EFF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身份证号码</w:t>
            </w:r>
          </w:p>
        </w:tc>
        <w:tc>
          <w:tcPr>
            <w:tcW w:w="2345" w:type="dxa"/>
            <w:vAlign w:val="center"/>
          </w:tcPr>
          <w:p w14:paraId="FC56D4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一卡通账号</w:t>
            </w:r>
          </w:p>
        </w:tc>
        <w:tc>
          <w:tcPr>
            <w:tcW w:w="1487" w:type="dxa"/>
            <w:vAlign w:val="center"/>
          </w:tcPr>
          <w:p w14:paraId="FD74A6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种植面积</w:t>
            </w:r>
          </w:p>
        </w:tc>
        <w:tc>
          <w:tcPr>
            <w:tcW w:w="1663" w:type="dxa"/>
            <w:vAlign w:val="center"/>
          </w:tcPr>
          <w:p w14:paraId="EEA960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电话号码</w:t>
            </w:r>
          </w:p>
        </w:tc>
        <w:tc>
          <w:tcPr>
            <w:tcW w:w="1637" w:type="dxa"/>
            <w:vAlign w:val="center"/>
          </w:tcPr>
          <w:p w14:paraId="B9D2C3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b/>
                <w:bCs/>
                <w:color w:val="auto"/>
                <w:sz w:val="24"/>
                <w:szCs w:val="24"/>
                <w:vertAlign w:val="baseline"/>
                <w:lang w:val="en-US" w:eastAsia="zh-CN"/>
              </w:rPr>
            </w:pPr>
            <w:r>
              <w:rPr>
                <w:rFonts w:hint="eastAsia" w:ascii="仿宋_GB2312" w:hAnsi="仿宋_GB2312" w:cs="仿宋_GB2312"/>
                <w:b/>
                <w:bCs/>
                <w:color w:val="auto"/>
                <w:sz w:val="24"/>
                <w:szCs w:val="24"/>
                <w:vertAlign w:val="baseline"/>
                <w:lang w:val="en-US" w:eastAsia="zh-CN"/>
              </w:rPr>
              <w:t>备注</w:t>
            </w:r>
          </w:p>
        </w:tc>
      </w:tr>
      <w:tr w14:paraId="F758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D9A60F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2302F7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29CD58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E48882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22B01A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AC0B9B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1EC198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F876DC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FEBC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46F7F7A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2E5953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4E5A99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41D94F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EB5B6A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8C488D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C6C7AD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FEDA7C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DDC1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4425A1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E1EB55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39F86E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7322DE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996542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C3C714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DF8F55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C7E889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2712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A62F43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3106542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BE1910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2909F6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F9C0C1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4D29C30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FF390B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348309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3FBE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AB2C98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EA8FB1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56AB2E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098862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F0B220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3EB2C6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D2E544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625239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8C16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11986F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8719135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2AEC42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57C915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4F63B6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118539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DD99DF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126BCC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1476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9B1DDF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7DE30E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A3580F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98F4AA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E3C531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271C58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0E9B6A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124CD3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B8FE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CDDEA62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8B45C0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E78625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1D3DE1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A2FF09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3D7ED4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18DD35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8CEAD5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7A7E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95A3BC9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2CBAC8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9EB758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6E9A97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BDBC27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F8E3ABF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A76705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DBAE16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5485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A1888C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5F9B9A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F542C7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8B59FA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9B3FA3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2413C7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4C2567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C90946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r w14:paraId="2776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33" w:type="dxa"/>
            <w:vAlign w:val="center"/>
          </w:tcPr>
          <w:p w14:paraId="47C0B2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13" w:type="dxa"/>
            <w:vAlign w:val="center"/>
          </w:tcPr>
          <w:p w14:paraId="F47066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770" w:type="dxa"/>
            <w:vAlign w:val="center"/>
          </w:tcPr>
          <w:p w14:paraId="D31A97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755" w:type="dxa"/>
            <w:vAlign w:val="center"/>
          </w:tcPr>
          <w:p w14:paraId="A6735A5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2345" w:type="dxa"/>
            <w:vAlign w:val="center"/>
          </w:tcPr>
          <w:p w14:paraId="8FFA78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487" w:type="dxa"/>
            <w:vAlign w:val="center"/>
          </w:tcPr>
          <w:p w14:paraId="5B10BD7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63" w:type="dxa"/>
            <w:vAlign w:val="center"/>
          </w:tcPr>
          <w:p w14:paraId="23B411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c>
          <w:tcPr>
            <w:tcW w:w="1637" w:type="dxa"/>
            <w:vAlign w:val="center"/>
          </w:tcPr>
          <w:p w14:paraId="56BE75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cs="仿宋_GB2312"/>
                <w:color w:val="auto"/>
                <w:sz w:val="24"/>
                <w:szCs w:val="24"/>
                <w:vertAlign w:val="baseline"/>
                <w:lang w:val="en-US" w:eastAsia="zh-CN"/>
              </w:rPr>
            </w:pPr>
          </w:p>
        </w:tc>
      </w:tr>
    </w:tbl>
    <w:p w14:paraId="1D42112C">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left"/>
        <w:textAlignment w:val="auto"/>
        <w:rPr>
          <w:rFonts w:hint="eastAsia" w:ascii="仿宋_GB2312" w:hAnsi="仿宋_GB2312" w:cs="仿宋_GB2312"/>
          <w:color w:val="auto"/>
          <w:sz w:val="28"/>
          <w:szCs w:val="28"/>
          <w:lang w:val="en-US" w:eastAsia="zh-CN"/>
        </w:rPr>
      </w:pPr>
    </w:p>
    <w:p w14:paraId="E62AFC64">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left"/>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 xml:space="preserve">主要负责人：                                               填报人：         </w:t>
      </w:r>
    </w:p>
    <w:p w14:paraId="138FAF40">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8"/>
          <w:szCs w:val="28"/>
          <w:lang w:val="en-US" w:eastAsia="zh-CN"/>
        </w:rPr>
        <w:t xml:space="preserve">分管负责人：                                               制表日期：     年   月   日  </w:t>
      </w:r>
    </w:p>
    <w:sectPr>
      <w:pgSz w:w="16838" w:h="11906" w:orient="landscape"/>
      <w:pgMar w:top="1531" w:right="1417" w:bottom="1417" w:left="1531"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国标黑体-GB/T 2312">
    <w:altName w:val="黑体"/>
    <w:panose1 w:val="02000500000000000000"/>
    <w:charset w:val="86"/>
    <w:family w:val="auto"/>
    <w:pitch w:val="default"/>
    <w:sig w:usb0="00000000" w:usb1="00000000" w:usb2="00000000" w:usb3="00000000" w:csb0="00040000" w:csb1="00000000"/>
  </w:font>
  <w:font w:name="国标楷体-GB/T 2312">
    <w:altName w:val="宋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742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8B750">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28B750">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g0YTFkM2M1ZGNlZjE4YWJiOTE0YTRkNTE0NGMifQ=="/>
  </w:docVars>
  <w:rsids>
    <w:rsidRoot w:val="00000000"/>
    <w:rsid w:val="2E0619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jc w:val="both"/>
    </w:pPr>
    <w:rPr>
      <w:rFonts w:ascii="Calibri" w:hAnsi="Calibri" w:eastAsia="仿宋_GB2312" w:cs="Times New Roman"/>
      <w:kern w:val="2"/>
      <w:sz w:val="32"/>
      <w:szCs w:val="24"/>
      <w:lang w:val="en-US" w:eastAsia="zh-CN" w:bidi="ar-SA"/>
    </w:rPr>
  </w:style>
  <w:style w:type="character" w:default="1" w:styleId="7">
    <w:name w:val="Default Paragraph Font"/>
    <w:qFormat/>
    <w:uiPriority w:val="0"/>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3285</Words>
  <Characters>3378</Characters>
  <Paragraphs>632</Paragraphs>
  <TotalTime>6</TotalTime>
  <ScaleCrop>false</ScaleCrop>
  <LinksUpToDate>false</LinksUpToDate>
  <CharactersWithSpaces>4187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2024-12-14T11:01:00Z</dcterms:created>
  <dc:creator>user</dc:creator>
  <cp:lastModifiedBy>敏子</cp:lastModifiedBy>
  <cp:lastPrinted>2025-03-20T08:07:00Z</cp:lastPrinted>
  <dcterms:modified xsi:type="dcterms:W3CDTF">2025-03-20T01:12:34Z</dcterms:modified>
  <dc:title>三元区农业农村局 三元区财政局关于印发2025年</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D263C175300B44159F1E9DC90A4B6B0F_13</vt:lpwstr>
  </property>
</Properties>
</file>